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Grigliatabella"/>
        <w:tblW w:w="0" w:type="auto"/>
        <w:tblLook w:val="04A0" w:firstRow="1" w:lastRow="0" w:firstColumn="1" w:lastColumn="0" w:noHBand="0" w:noVBand="1"/>
      </w:tblPr>
      <w:tblGrid>
        <w:gridCol w:w="9962"/>
      </w:tblGrid>
      <w:tr w:rsidR="00544E06" w14:paraId="6B6EBE6D" w14:textId="77777777" w:rsidTr="00544E06">
        <w:tc>
          <w:tcPr>
            <w:tcW w:w="9962" w:type="dxa"/>
          </w:tcPr>
          <w:p w14:paraId="63A009B0" w14:textId="77777777" w:rsidR="00544E06" w:rsidRDefault="00544E06" w:rsidP="00544E06">
            <w:pPr>
              <w:pStyle w:val="FirstParagraph"/>
              <w:jc w:val="center"/>
              <w:rPr>
                <w:b/>
                <w:bCs/>
              </w:rPr>
            </w:pPr>
            <w:r w:rsidRPr="005A62E1">
              <w:rPr>
                <w:b/>
                <w:bCs/>
              </w:rPr>
              <w:t xml:space="preserve">CASI DI CESSAZIONE ANTICIPATA E ATTIVAZIONE NUOVO CONTRATTO </w:t>
            </w:r>
          </w:p>
          <w:p w14:paraId="0BEF03BA" w14:textId="61E461B0" w:rsidR="00544E06" w:rsidRDefault="00544E06" w:rsidP="00544E06">
            <w:pPr>
              <w:pStyle w:val="FirstParagraph"/>
              <w:jc w:val="center"/>
              <w:rPr>
                <w:b/>
                <w:bCs/>
              </w:rPr>
            </w:pPr>
            <w:r w:rsidRPr="005A62E1">
              <w:rPr>
                <w:b/>
                <w:bCs/>
              </w:rPr>
              <w:t>NELLA IEFP IN APPRENDISTATO</w:t>
            </w:r>
          </w:p>
        </w:tc>
      </w:tr>
    </w:tbl>
    <w:p w14:paraId="18E159F4" w14:textId="6DDBA967" w:rsidR="005D46E3" w:rsidRDefault="00544E06" w:rsidP="00544E06">
      <w:pPr>
        <w:pStyle w:val="Corpotesto"/>
        <w:jc w:val="center"/>
        <w:rPr>
          <w:i/>
          <w:iCs/>
        </w:rPr>
      </w:pPr>
      <w:r w:rsidRPr="00544E06">
        <w:rPr>
          <w:i/>
          <w:iCs/>
        </w:rPr>
        <w:t>14.10.2025</w:t>
      </w:r>
    </w:p>
    <w:p w14:paraId="5F4E338A" w14:textId="77777777" w:rsidR="00544E06" w:rsidRPr="00544E06" w:rsidRDefault="00544E06" w:rsidP="00544E06">
      <w:pPr>
        <w:pStyle w:val="Corpotesto"/>
        <w:jc w:val="center"/>
        <w:rPr>
          <w:i/>
          <w:iCs/>
        </w:rPr>
      </w:pPr>
    </w:p>
    <w:p w14:paraId="081FF5BB" w14:textId="1BEE00D3" w:rsidR="00AF7E6F" w:rsidRPr="005A62E1" w:rsidRDefault="00D86920" w:rsidP="00544E06">
      <w:pPr>
        <w:pStyle w:val="Compact"/>
        <w:numPr>
          <w:ilvl w:val="0"/>
          <w:numId w:val="9"/>
        </w:numPr>
        <w:jc w:val="both"/>
        <w:rPr>
          <w:b/>
          <w:bCs/>
        </w:rPr>
      </w:pPr>
      <w:r w:rsidRPr="005A62E1">
        <w:rPr>
          <w:b/>
          <w:bCs/>
        </w:rPr>
        <w:t xml:space="preserve">Primo contratto cessato prima del 16 ottobre 2025 (dote non </w:t>
      </w:r>
      <w:r w:rsidR="000F3A9A">
        <w:rPr>
          <w:b/>
          <w:bCs/>
        </w:rPr>
        <w:t xml:space="preserve">ancora </w:t>
      </w:r>
      <w:r w:rsidRPr="005A62E1">
        <w:rPr>
          <w:b/>
          <w:bCs/>
        </w:rPr>
        <w:t>richiesta in BES)</w:t>
      </w:r>
    </w:p>
    <w:p w14:paraId="4D22C6C6" w14:textId="000545D2" w:rsidR="00AF7E6F" w:rsidRDefault="00D86920" w:rsidP="00544E06">
      <w:pPr>
        <w:pStyle w:val="Compact"/>
        <w:numPr>
          <w:ilvl w:val="0"/>
          <w:numId w:val="3"/>
        </w:numPr>
        <w:ind w:left="1080"/>
        <w:jc w:val="both"/>
      </w:pPr>
      <w:r>
        <w:t>Se il primo cont</w:t>
      </w:r>
      <w:r w:rsidR="00544E06">
        <w:t>ratt</w:t>
      </w:r>
      <w:r>
        <w:t>o è cessato prima del 16 ottobre 2025 e quindi in BES non è stata richiesta la dote, occorre aprire una sezione in SIUF la cui durata sia corrispondente al termine del secondo contratto e in BES la dote sarà richiesta con la COB attiva del secondo contratto.</w:t>
      </w:r>
    </w:p>
    <w:p w14:paraId="4A306A7A" w14:textId="77777777" w:rsidR="00AF7E6F" w:rsidRDefault="00D86920" w:rsidP="00544E06">
      <w:pPr>
        <w:pStyle w:val="Compact"/>
        <w:numPr>
          <w:ilvl w:val="0"/>
          <w:numId w:val="3"/>
        </w:numPr>
        <w:ind w:left="1080"/>
        <w:jc w:val="both"/>
      </w:pPr>
      <w:r>
        <w:t>Nella vita scolastica si potranno inserire come crediti tutte le ore sia di formazione esterna sia di formazione interna erogate nell’ambito del primo contratto.</w:t>
      </w:r>
    </w:p>
    <w:p w14:paraId="3E71AE46" w14:textId="77777777" w:rsidR="00AF7E6F" w:rsidRDefault="00D86920" w:rsidP="00544E06">
      <w:pPr>
        <w:pStyle w:val="Compact"/>
        <w:numPr>
          <w:ilvl w:val="0"/>
          <w:numId w:val="3"/>
        </w:numPr>
        <w:ind w:left="1080"/>
        <w:jc w:val="both"/>
      </w:pPr>
      <w:r>
        <w:t>In BES, tutte le ore erogate nel primo contratto saranno valorizzate come crediti.</w:t>
      </w:r>
    </w:p>
    <w:p w14:paraId="2A37991C" w14:textId="77777777" w:rsidR="00AF7E6F" w:rsidRDefault="00D86920" w:rsidP="00544E06">
      <w:pPr>
        <w:pStyle w:val="FirstParagraph"/>
        <w:ind w:left="720"/>
        <w:jc w:val="both"/>
      </w:pPr>
      <w:r>
        <w:t>ATTENZIONE: ogni ente deve conservare tutta la documentazione (PFI, Protocollo, COB di avvio e COB di cessazione, scheda stage/formazione interna e registro cartaceo della formazione esterna/estrazione delle presenze del proprio gestionale) che dimostra l’erogazione anche parziale del primo percorso formativo in apprendistato poi cessato anticipatamente.</w:t>
      </w:r>
    </w:p>
    <w:p w14:paraId="31F98D4E" w14:textId="77777777" w:rsidR="00AF7E6F" w:rsidRDefault="00D86920" w:rsidP="00544E06">
      <w:pPr>
        <w:pStyle w:val="Corpotesto"/>
        <w:ind w:left="720"/>
        <w:jc w:val="both"/>
      </w:pPr>
      <w:r w:rsidRPr="005D46E3">
        <w:rPr>
          <w:i/>
          <w:iCs/>
        </w:rPr>
        <w:t>Esempio</w:t>
      </w:r>
      <w:r>
        <w:t>: - Primo contratto: 1 luglio 2025 – 30 giugno 2026, cessato anticipatamente il 30 settembre 2025 - Secondo contratto: 1 ottobre 2025 – 30 giugno 2026</w:t>
      </w:r>
    </w:p>
    <w:p w14:paraId="4DAEC3C6" w14:textId="1F918C0A" w:rsidR="00AF7E6F" w:rsidRDefault="00D86920" w:rsidP="00544E06">
      <w:pPr>
        <w:pStyle w:val="Corpotesto"/>
        <w:ind w:left="720"/>
        <w:jc w:val="both"/>
      </w:pPr>
      <w:r>
        <w:t>In SIUF, la sezione deve avere come termine il 30 giugno 2026 e le ore da registrare sul GRS sono solo quelle del secondo contratto. In BES saranno riconosciute solo le ore del GRS registrate nel secondo contratto. Tutte le ore erogate nel primo contratto saranno inserite come crediti nella vista scolastica dello studente in SIUF e in</w:t>
      </w:r>
      <w:r w:rsidR="000F3A9A">
        <w:t xml:space="preserve"> rendicontazione della dote in</w:t>
      </w:r>
      <w:r>
        <w:t xml:space="preserve"> BES.</w:t>
      </w:r>
    </w:p>
    <w:p w14:paraId="449965FC" w14:textId="3F1B23AD" w:rsidR="00AF7E6F" w:rsidRPr="005A62E1" w:rsidRDefault="000F3A9A" w:rsidP="00544E06">
      <w:pPr>
        <w:pStyle w:val="Compact"/>
        <w:numPr>
          <w:ilvl w:val="0"/>
          <w:numId w:val="9"/>
        </w:numPr>
        <w:jc w:val="both"/>
        <w:rPr>
          <w:b/>
          <w:bCs/>
        </w:rPr>
      </w:pPr>
      <w:r>
        <w:rPr>
          <w:b/>
          <w:bCs/>
        </w:rPr>
        <w:t xml:space="preserve">Aperta la sezione in SIUF </w:t>
      </w:r>
      <w:r w:rsidR="00D86920" w:rsidRPr="005A62E1">
        <w:rPr>
          <w:b/>
          <w:bCs/>
        </w:rPr>
        <w:t xml:space="preserve">e </w:t>
      </w:r>
      <w:r>
        <w:rPr>
          <w:b/>
          <w:bCs/>
        </w:rPr>
        <w:t xml:space="preserve">richiesta la dote </w:t>
      </w:r>
      <w:r w:rsidR="00D86920" w:rsidRPr="005A62E1">
        <w:rPr>
          <w:b/>
          <w:bCs/>
        </w:rPr>
        <w:t>in BES</w:t>
      </w:r>
      <w:r>
        <w:rPr>
          <w:b/>
          <w:bCs/>
        </w:rPr>
        <w:t xml:space="preserve"> a valere del primo contratto</w:t>
      </w:r>
      <w:r w:rsidR="00D86920" w:rsidRPr="005A62E1">
        <w:rPr>
          <w:b/>
          <w:bCs/>
        </w:rPr>
        <w:t xml:space="preserve">, </w:t>
      </w:r>
      <w:r>
        <w:rPr>
          <w:b/>
          <w:bCs/>
        </w:rPr>
        <w:t xml:space="preserve"> poi </w:t>
      </w:r>
      <w:r w:rsidR="00D86920" w:rsidRPr="005A62E1">
        <w:rPr>
          <w:b/>
          <w:bCs/>
        </w:rPr>
        <w:t>cessato anticipatamente</w:t>
      </w:r>
    </w:p>
    <w:p w14:paraId="4BEA5355" w14:textId="66BEC348" w:rsidR="00AF7E6F" w:rsidRPr="005A62E1" w:rsidRDefault="00D86920" w:rsidP="00544E06">
      <w:pPr>
        <w:pStyle w:val="Compact"/>
        <w:numPr>
          <w:ilvl w:val="0"/>
          <w:numId w:val="5"/>
        </w:numPr>
        <w:ind w:left="1080"/>
        <w:jc w:val="both"/>
        <w:rPr>
          <w:b/>
          <w:bCs/>
        </w:rPr>
      </w:pPr>
      <w:r w:rsidRPr="005A62E1">
        <w:rPr>
          <w:b/>
          <w:bCs/>
        </w:rPr>
        <w:t xml:space="preserve">Caso A: </w:t>
      </w:r>
      <w:r w:rsidR="00FC5ED9" w:rsidRPr="00FC5ED9">
        <w:rPr>
          <w:b/>
          <w:bCs/>
        </w:rPr>
        <w:t>Se il secondo contratto rientra come termine nel termine già programmato della sezione</w:t>
      </w:r>
      <w:r w:rsidR="000F3A9A">
        <w:rPr>
          <w:b/>
          <w:bCs/>
        </w:rPr>
        <w:t xml:space="preserve"> o</w:t>
      </w:r>
      <w:r w:rsidRPr="005A62E1">
        <w:rPr>
          <w:b/>
          <w:bCs/>
        </w:rPr>
        <w:t>riginaria</w:t>
      </w:r>
    </w:p>
    <w:p w14:paraId="778BB519" w14:textId="77777777" w:rsidR="00AF7E6F" w:rsidRDefault="00D86920" w:rsidP="00544E06">
      <w:pPr>
        <w:pStyle w:val="Compact"/>
        <w:numPr>
          <w:ilvl w:val="1"/>
          <w:numId w:val="6"/>
        </w:numPr>
        <w:ind w:left="1800"/>
        <w:jc w:val="both"/>
      </w:pPr>
      <w:r>
        <w:t>L’apprendista può rimanere agganciato alla stessa sezione originaria.</w:t>
      </w:r>
    </w:p>
    <w:p w14:paraId="45AF7C63" w14:textId="77777777" w:rsidR="00AF7E6F" w:rsidRDefault="00D86920" w:rsidP="00544E06">
      <w:pPr>
        <w:pStyle w:val="Compact"/>
        <w:numPr>
          <w:ilvl w:val="1"/>
          <w:numId w:val="6"/>
        </w:numPr>
        <w:ind w:left="1800"/>
        <w:jc w:val="both"/>
      </w:pPr>
      <w:r>
        <w:t>L’ente può continuare a registrare le ore anche del secondo contratto con la stessa ID di sezione.</w:t>
      </w:r>
    </w:p>
    <w:p w14:paraId="7843C8FD" w14:textId="77777777" w:rsidR="00AF7E6F" w:rsidRDefault="00D86920" w:rsidP="00544E06">
      <w:pPr>
        <w:pStyle w:val="Compact"/>
        <w:numPr>
          <w:ilvl w:val="1"/>
          <w:numId w:val="6"/>
        </w:numPr>
        <w:ind w:left="1800"/>
        <w:jc w:val="both"/>
      </w:pPr>
      <w:r>
        <w:t>In BES, in rendicontazione va selezionata l’opzione “cessazione anticipata e avvio nuovo contratto SENZA cambio di sezione” e va caricata la COB del secondo contratto.</w:t>
      </w:r>
    </w:p>
    <w:p w14:paraId="5B8288BF" w14:textId="77777777" w:rsidR="00AF7E6F" w:rsidRDefault="00D86920" w:rsidP="00544E06">
      <w:pPr>
        <w:pStyle w:val="Compact"/>
        <w:numPr>
          <w:ilvl w:val="1"/>
          <w:numId w:val="6"/>
        </w:numPr>
        <w:ind w:left="1800"/>
        <w:jc w:val="both"/>
      </w:pPr>
      <w:r>
        <w:t>Il PFI del primo contratto deve essere conservato agli atti, mentre nella vita scolastica dello studente deve essere caricato il PFI del secondo contratto.</w:t>
      </w:r>
    </w:p>
    <w:p w14:paraId="39C4E486" w14:textId="70BE1333" w:rsidR="00AF7E6F" w:rsidRDefault="00D86920" w:rsidP="00544E06">
      <w:pPr>
        <w:pStyle w:val="FirstParagraph"/>
        <w:ind w:left="1080"/>
        <w:jc w:val="both"/>
      </w:pPr>
      <w:r w:rsidRPr="005D46E3">
        <w:rPr>
          <w:i/>
          <w:iCs/>
        </w:rPr>
        <w:lastRenderedPageBreak/>
        <w:t>Esempio</w:t>
      </w:r>
      <w:r>
        <w:t>: Primo contratto: 1 novembre 2025 – 30 giugno 2026, cessato anticipatamente il 30 novembre 2025 - Secondo contratto: 1 dicembre 2025 – 30 giugno 2026</w:t>
      </w:r>
    </w:p>
    <w:p w14:paraId="517FBA0D" w14:textId="77777777" w:rsidR="00AF7E6F" w:rsidRDefault="00D86920" w:rsidP="00544E06">
      <w:pPr>
        <w:pStyle w:val="Corpotesto"/>
        <w:ind w:left="1080"/>
        <w:jc w:val="both"/>
      </w:pPr>
      <w:r>
        <w:t>L’apprendista rimane nella stessa sezione e tutte le ore del primo e del secondo contratto sono caricate nella stessa sezione.</w:t>
      </w:r>
    </w:p>
    <w:p w14:paraId="2C11689B" w14:textId="77777777" w:rsidR="00AF7E6F" w:rsidRDefault="00D86920" w:rsidP="00544E06">
      <w:pPr>
        <w:pStyle w:val="Compact"/>
        <w:numPr>
          <w:ilvl w:val="0"/>
          <w:numId w:val="7"/>
        </w:numPr>
        <w:ind w:left="1080"/>
        <w:jc w:val="both"/>
      </w:pPr>
      <w:r w:rsidRPr="005A62E1">
        <w:rPr>
          <w:b/>
          <w:bCs/>
        </w:rPr>
        <w:t>Caso B: il secondo contratto ha un termine successivo alla sezione originaria</w:t>
      </w:r>
    </w:p>
    <w:p w14:paraId="32E6BAA8" w14:textId="77777777" w:rsidR="00AF7E6F" w:rsidRDefault="00D86920" w:rsidP="00544E06">
      <w:pPr>
        <w:pStyle w:val="Compact"/>
        <w:numPr>
          <w:ilvl w:val="1"/>
          <w:numId w:val="8"/>
        </w:numPr>
        <w:ind w:left="1800"/>
        <w:jc w:val="both"/>
      </w:pPr>
      <w:r>
        <w:t>L’apprendista deve essere ritirato dalla sezione originaria e aperta una nuova sezione con durata corrispondente al secondo contratto.</w:t>
      </w:r>
    </w:p>
    <w:p w14:paraId="58938949" w14:textId="77777777" w:rsidR="00AF7E6F" w:rsidRDefault="00D86920" w:rsidP="00544E06">
      <w:pPr>
        <w:pStyle w:val="Compact"/>
        <w:numPr>
          <w:ilvl w:val="1"/>
          <w:numId w:val="8"/>
        </w:numPr>
        <w:ind w:left="1800"/>
        <w:jc w:val="both"/>
      </w:pPr>
      <w:r>
        <w:t>L’ente registra sul GRS le ore erogate nel primo contratto con la prima sezione e le ore del secondo contratto con la nuova sezione.</w:t>
      </w:r>
    </w:p>
    <w:p w14:paraId="2F068F96" w14:textId="77777777" w:rsidR="00AF7E6F" w:rsidRDefault="00D86920" w:rsidP="00544E06">
      <w:pPr>
        <w:pStyle w:val="Compact"/>
        <w:numPr>
          <w:ilvl w:val="1"/>
          <w:numId w:val="8"/>
        </w:numPr>
        <w:ind w:left="1800"/>
        <w:jc w:val="both"/>
      </w:pPr>
      <w:r>
        <w:t>In BES, in rendicontazione va selezionata l’opzione “cessazione anticipata e avvio nuovo contratto CON cambio di sezione” e va caricata la COB del secondo contratto. BES sommerà le ore registrate con la prima sezione e le ore registrate con la seconda sezione.</w:t>
      </w:r>
    </w:p>
    <w:p w14:paraId="29BF2DB5" w14:textId="0852B5F6" w:rsidR="00AF7E6F" w:rsidRDefault="00D86920" w:rsidP="00544E06">
      <w:pPr>
        <w:pStyle w:val="FirstParagraph"/>
        <w:ind w:left="1080"/>
        <w:jc w:val="both"/>
      </w:pPr>
      <w:r>
        <w:t>Esempio: Primo contratto: 1 novembre 2025 – 30 giugno 2026, cessato anticipatamente il 30 aprile 2026 - Secondo contratto: 1 maggio 2026 – 30 ottobre 2026</w:t>
      </w:r>
    </w:p>
    <w:p w14:paraId="264945C8" w14:textId="77777777" w:rsidR="00AF7E6F" w:rsidRDefault="00D86920" w:rsidP="00544E06">
      <w:pPr>
        <w:pStyle w:val="Corpotesto"/>
        <w:ind w:left="1080"/>
        <w:jc w:val="both"/>
      </w:pPr>
      <w:r>
        <w:t>L’apprendista deve essere ritirato dalla prima sezione e agganciato alla nuova sezione con termine 30 ottobre 2026. Le ore del primo contratto saranno registrate nella prima sezione e quelle del secondo contratto nella seconda sezione.</w:t>
      </w:r>
    </w:p>
    <w:p w14:paraId="36AABA52" w14:textId="2285B82E" w:rsidR="000F3A9A" w:rsidRDefault="000F3A9A" w:rsidP="000F3A9A">
      <w:pPr>
        <w:pStyle w:val="Corpotesto"/>
        <w:jc w:val="both"/>
      </w:pPr>
      <w:r>
        <w:t xml:space="preserve">Attenzione: si ricorda che anche il secondo contratto deve avere durata minima di sei mesi. </w:t>
      </w:r>
    </w:p>
    <w:sectPr w:rsidR="000F3A9A">
      <w:headerReference w:type="default" r:id="rId7"/>
      <w:footnotePr>
        <w:numRestart w:val="eachSect"/>
      </w:footnotePr>
      <w:pgSz w:w="12240" w:h="15840"/>
      <w:pgMar w:top="1417"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26B2CA" w14:textId="77777777" w:rsidR="00544E06" w:rsidRDefault="00544E06" w:rsidP="00544E06">
      <w:pPr>
        <w:spacing w:after="0"/>
      </w:pPr>
      <w:r>
        <w:separator/>
      </w:r>
    </w:p>
  </w:endnote>
  <w:endnote w:type="continuationSeparator" w:id="0">
    <w:p w14:paraId="38EC2BE6" w14:textId="77777777" w:rsidR="00544E06" w:rsidRDefault="00544E06" w:rsidP="00544E0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014399" w14:textId="77777777" w:rsidR="00544E06" w:rsidRDefault="00544E06" w:rsidP="00544E06">
      <w:pPr>
        <w:spacing w:after="0"/>
      </w:pPr>
      <w:r>
        <w:separator/>
      </w:r>
    </w:p>
  </w:footnote>
  <w:footnote w:type="continuationSeparator" w:id="0">
    <w:p w14:paraId="015C2760" w14:textId="77777777" w:rsidR="00544E06" w:rsidRDefault="00544E06" w:rsidP="00544E0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D443EF" w14:textId="1AB5E89A" w:rsidR="00544E06" w:rsidRDefault="00544E06" w:rsidP="00544E06">
    <w:pPr>
      <w:pStyle w:val="Intestazione"/>
      <w:jc w:val="center"/>
    </w:pPr>
    <w:r w:rsidRPr="00544E06">
      <w:rPr>
        <w:rFonts w:ascii="Calibri" w:eastAsia="Aptos" w:hAnsi="Calibri" w:cs="Calibri"/>
        <w:noProof/>
        <w:sz w:val="22"/>
        <w:szCs w:val="22"/>
        <w:lang w:val="it-IT" w:eastAsia="it-IT"/>
      </w:rPr>
      <w:drawing>
        <wp:inline distT="0" distB="0" distL="0" distR="0" wp14:anchorId="4B63D02E" wp14:editId="39586258">
          <wp:extent cx="1760561" cy="465988"/>
          <wp:effectExtent l="0" t="0" r="0" b="0"/>
          <wp:docPr id="940929105" name="Immagine 1" descr="Immagine che contiene testo, Carattere, logo, Elementi grafici&#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0929105" name="Immagine 1" descr="Immagine che contiene testo, Carattere, logo, Elementi grafici&#10;&#10;Il contenuto generato dall'IA potrebbe non essere corrett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46271" cy="488674"/>
                  </a:xfrm>
                  <a:prstGeom prst="rect">
                    <a:avLst/>
                  </a:prstGeom>
                  <a:noFill/>
                  <a:ln>
                    <a:noFill/>
                  </a:ln>
                </pic:spPr>
              </pic:pic>
            </a:graphicData>
          </a:graphic>
        </wp:inline>
      </w:drawing>
    </w:r>
  </w:p>
  <w:p w14:paraId="717683C8" w14:textId="77777777" w:rsidR="00544E06" w:rsidRDefault="00544E0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A990"/>
    <w:multiLevelType w:val="multilevel"/>
    <w:tmpl w:val="C2500874"/>
    <w:lvl w:ilvl="0">
      <w:numFmt w:val="bullet"/>
      <w:lvlText w:val=" "/>
      <w:lvlJc w:val="left"/>
      <w:pPr>
        <w:ind w:left="720" w:hanging="360"/>
      </w:pPr>
    </w:lvl>
    <w:lvl w:ilvl="1">
      <w:numFmt w:val="bullet"/>
      <w:lvlText w:val=" "/>
      <w:lvlJc w:val="left"/>
      <w:pPr>
        <w:ind w:left="1440" w:hanging="360"/>
      </w:pPr>
    </w:lvl>
    <w:lvl w:ilvl="2">
      <w:numFmt w:val="bullet"/>
      <w:lvlText w:val=" "/>
      <w:lvlJc w:val="left"/>
      <w:pPr>
        <w:ind w:left="2160" w:hanging="360"/>
      </w:pPr>
    </w:lvl>
    <w:lvl w:ilvl="3">
      <w:numFmt w:val="bullet"/>
      <w:lvlText w:val=" "/>
      <w:lvlJc w:val="left"/>
      <w:pPr>
        <w:ind w:left="2880" w:hanging="360"/>
      </w:pPr>
    </w:lvl>
    <w:lvl w:ilvl="4">
      <w:numFmt w:val="bullet"/>
      <w:lvlText w:val=" "/>
      <w:lvlJc w:val="left"/>
      <w:pPr>
        <w:ind w:left="3600" w:hanging="360"/>
      </w:pPr>
    </w:lvl>
    <w:lvl w:ilvl="5">
      <w:numFmt w:val="bullet"/>
      <w:lvlText w:val=" "/>
      <w:lvlJc w:val="left"/>
      <w:pPr>
        <w:ind w:left="4320" w:hanging="360"/>
      </w:pPr>
    </w:lvl>
    <w:lvl w:ilvl="6">
      <w:numFmt w:val="bullet"/>
      <w:lvlText w:val=" "/>
      <w:lvlJc w:val="left"/>
      <w:pPr>
        <w:ind w:left="5040" w:hanging="360"/>
      </w:pPr>
    </w:lvl>
    <w:lvl w:ilvl="7">
      <w:numFmt w:val="bullet"/>
      <w:lvlText w:val=" "/>
      <w:lvlJc w:val="left"/>
      <w:pPr>
        <w:ind w:left="5760" w:hanging="360"/>
      </w:pPr>
    </w:lvl>
    <w:lvl w:ilvl="8">
      <w:numFmt w:val="bullet"/>
      <w:lvlText w:val=" "/>
      <w:lvlJc w:val="left"/>
      <w:pPr>
        <w:ind w:left="6480" w:hanging="360"/>
      </w:pPr>
    </w:lvl>
  </w:abstractNum>
  <w:abstractNum w:abstractNumId="1" w15:restartNumberingAfterBreak="0">
    <w:nsid w:val="0000A991"/>
    <w:multiLevelType w:val="multilevel"/>
    <w:tmpl w:val="3E106F16"/>
    <w:lvl w:ilvl="0">
      <w:numFmt w:val="bullet"/>
      <w:lvlText w:val=""/>
      <w:lvlJc w:val="left"/>
      <w:pPr>
        <w:ind w:left="720" w:hanging="360"/>
      </w:pPr>
      <w:rPr>
        <w:rFonts w:ascii="Symbol" w:hAnsi="Symbol" w:cs="Symbol" w:hint="default"/>
      </w:rPr>
    </w:lvl>
    <w:lvl w:ilvl="1">
      <w:numFmt w:val="bullet"/>
      <w:lvlText w:val="o"/>
      <w:lvlJc w:val="left"/>
      <w:pPr>
        <w:ind w:left="1440" w:hanging="360"/>
      </w:pPr>
      <w:rPr>
        <w:rFonts w:ascii="Courier New" w:hAnsi="Courier New" w:cs="Courier New" w:hint="default"/>
      </w:rPr>
    </w:lvl>
    <w:lvl w:ilvl="2">
      <w:numFmt w:val="bullet"/>
      <w:lvlText w:val=""/>
      <w:lvlJc w:val="left"/>
      <w:pPr>
        <w:ind w:left="2160" w:hanging="360"/>
      </w:pPr>
      <w:rPr>
        <w:rFonts w:ascii="Wingdings" w:hAnsi="Wingdings" w:cs="Wingdings" w:hint="default"/>
      </w:rPr>
    </w:lvl>
    <w:lvl w:ilvl="3">
      <w:numFmt w:val="bullet"/>
      <w:lvlText w:val=""/>
      <w:lvlJc w:val="left"/>
      <w:pPr>
        <w:ind w:left="2880" w:hanging="360"/>
      </w:pPr>
      <w:rPr>
        <w:rFonts w:ascii="Symbol" w:hAnsi="Symbol" w:cs="Symbol" w:hint="default"/>
      </w:rPr>
    </w:lvl>
    <w:lvl w:ilvl="4">
      <w:numFmt w:val="bullet"/>
      <w:lvlText w:val="o"/>
      <w:lvlJc w:val="left"/>
      <w:pPr>
        <w:ind w:left="3600" w:hanging="360"/>
      </w:pPr>
      <w:rPr>
        <w:rFonts w:ascii="Courier New" w:hAnsi="Courier New" w:cs="Courier New" w:hint="default"/>
      </w:rPr>
    </w:lvl>
    <w:lvl w:ilvl="5">
      <w:numFmt w:val="bullet"/>
      <w:lvlText w:val=""/>
      <w:lvlJc w:val="left"/>
      <w:pPr>
        <w:ind w:left="4320" w:hanging="360"/>
      </w:pPr>
      <w:rPr>
        <w:rFonts w:ascii="Wingdings" w:hAnsi="Wingdings" w:cs="Wingdings" w:hint="default"/>
      </w:rPr>
    </w:lvl>
    <w:lvl w:ilvl="6">
      <w:numFmt w:val="bullet"/>
      <w:lvlText w:val=""/>
      <w:lvlJc w:val="left"/>
      <w:pPr>
        <w:ind w:left="5040" w:hanging="360"/>
      </w:pPr>
      <w:rPr>
        <w:rFonts w:ascii="Symbol" w:hAnsi="Symbol" w:cs="Symbol" w:hint="default"/>
      </w:rPr>
    </w:lvl>
    <w:lvl w:ilvl="7">
      <w:numFmt w:val="bullet"/>
      <w:lvlText w:val="o"/>
      <w:lvlJc w:val="left"/>
      <w:pPr>
        <w:ind w:left="5760" w:hanging="360"/>
      </w:pPr>
      <w:rPr>
        <w:rFonts w:ascii="Courier New" w:hAnsi="Courier New" w:cs="Courier New" w:hint="default"/>
      </w:rPr>
    </w:lvl>
    <w:lvl w:ilvl="8">
      <w:numFmt w:val="bullet"/>
      <w:lvlText w:val=""/>
      <w:lvlJc w:val="left"/>
      <w:pPr>
        <w:ind w:left="6480" w:hanging="360"/>
      </w:pPr>
      <w:rPr>
        <w:rFonts w:ascii="Wingdings" w:hAnsi="Wingdings" w:cs="Wingdings" w:hint="default"/>
      </w:rPr>
    </w:lvl>
  </w:abstractNum>
  <w:abstractNum w:abstractNumId="2" w15:restartNumberingAfterBreak="0">
    <w:nsid w:val="00A99411"/>
    <w:multiLevelType w:val="multilevel"/>
    <w:tmpl w:val="E0F6B83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00A99412"/>
    <w:multiLevelType w:val="multilevel"/>
    <w:tmpl w:val="063690AA"/>
    <w:lvl w:ilvl="0">
      <w:start w:val="2"/>
      <w:numFmt w:val="decimal"/>
      <w:lvlText w:val="%1."/>
      <w:lvlJc w:val="left"/>
      <w:pPr>
        <w:ind w:left="720" w:hanging="360"/>
      </w:pPr>
    </w:lvl>
    <w:lvl w:ilvl="1">
      <w:start w:val="2"/>
      <w:numFmt w:val="decimal"/>
      <w:lvlText w:val="%2."/>
      <w:lvlJc w:val="left"/>
      <w:pPr>
        <w:ind w:left="1440" w:hanging="360"/>
      </w:pPr>
    </w:lvl>
    <w:lvl w:ilvl="2">
      <w:start w:val="2"/>
      <w:numFmt w:val="decimal"/>
      <w:lvlText w:val="%3."/>
      <w:lvlJc w:val="left"/>
      <w:pPr>
        <w:ind w:left="2160" w:hanging="360"/>
      </w:pPr>
    </w:lvl>
    <w:lvl w:ilvl="3">
      <w:start w:val="2"/>
      <w:numFmt w:val="decimal"/>
      <w:lvlText w:val="%4."/>
      <w:lvlJc w:val="left"/>
      <w:pPr>
        <w:ind w:left="2880" w:hanging="360"/>
      </w:pPr>
    </w:lvl>
    <w:lvl w:ilvl="4">
      <w:start w:val="2"/>
      <w:numFmt w:val="decimal"/>
      <w:lvlText w:val="%5."/>
      <w:lvlJc w:val="left"/>
      <w:pPr>
        <w:ind w:left="3600" w:hanging="360"/>
      </w:pPr>
    </w:lvl>
    <w:lvl w:ilvl="5">
      <w:start w:val="2"/>
      <w:numFmt w:val="decimal"/>
      <w:lvlText w:val="%6."/>
      <w:lvlJc w:val="left"/>
      <w:pPr>
        <w:ind w:left="4320" w:hanging="360"/>
      </w:pPr>
    </w:lvl>
    <w:lvl w:ilvl="6">
      <w:start w:val="2"/>
      <w:numFmt w:val="decimal"/>
      <w:lvlText w:val="%7."/>
      <w:lvlJc w:val="left"/>
      <w:pPr>
        <w:ind w:left="5040" w:hanging="360"/>
      </w:pPr>
    </w:lvl>
    <w:lvl w:ilvl="7">
      <w:start w:val="2"/>
      <w:numFmt w:val="decimal"/>
      <w:lvlText w:val="%8."/>
      <w:lvlJc w:val="left"/>
      <w:pPr>
        <w:ind w:left="5760" w:hanging="360"/>
      </w:pPr>
    </w:lvl>
    <w:lvl w:ilvl="8">
      <w:start w:val="2"/>
      <w:numFmt w:val="decimal"/>
      <w:lvlText w:val="%9."/>
      <w:lvlJc w:val="left"/>
      <w:pPr>
        <w:ind w:left="6480" w:hanging="360"/>
      </w:pPr>
    </w:lvl>
  </w:abstractNum>
  <w:abstractNum w:abstractNumId="4" w15:restartNumberingAfterBreak="0">
    <w:nsid w:val="0FAA2C85"/>
    <w:multiLevelType w:val="hybridMultilevel"/>
    <w:tmpl w:val="2BC2391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591811669">
    <w:abstractNumId w:val="0"/>
  </w:num>
  <w:num w:numId="2" w16cid:durableId="205026016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368604315">
    <w:abstractNumId w:val="1"/>
  </w:num>
  <w:num w:numId="4" w16cid:durableId="645208960">
    <w:abstractNumId w:val="3"/>
    <w:lvlOverride w:ilvl="0">
      <w:startOverride w:val="2"/>
    </w:lvlOverride>
    <w:lvlOverride w:ilvl="1">
      <w:startOverride w:val="2"/>
    </w:lvlOverride>
    <w:lvlOverride w:ilvl="2">
      <w:startOverride w:val="2"/>
    </w:lvlOverride>
    <w:lvlOverride w:ilvl="3">
      <w:startOverride w:val="2"/>
    </w:lvlOverride>
    <w:lvlOverride w:ilvl="4">
      <w:startOverride w:val="2"/>
    </w:lvlOverride>
    <w:lvlOverride w:ilvl="5">
      <w:startOverride w:val="2"/>
    </w:lvlOverride>
    <w:lvlOverride w:ilvl="6">
      <w:startOverride w:val="2"/>
    </w:lvlOverride>
    <w:lvlOverride w:ilvl="7">
      <w:startOverride w:val="2"/>
    </w:lvlOverride>
    <w:lvlOverride w:ilvl="8">
      <w:startOverride w:val="2"/>
    </w:lvlOverride>
  </w:num>
  <w:num w:numId="5" w16cid:durableId="1920670759">
    <w:abstractNumId w:val="1"/>
  </w:num>
  <w:num w:numId="6" w16cid:durableId="1806123494">
    <w:abstractNumId w:val="1"/>
  </w:num>
  <w:num w:numId="7" w16cid:durableId="1345480347">
    <w:abstractNumId w:val="1"/>
  </w:num>
  <w:num w:numId="8" w16cid:durableId="1917474641">
    <w:abstractNumId w:val="1"/>
  </w:num>
  <w:num w:numId="9" w16cid:durableId="11786920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283"/>
  <w:drawingGridHorizontalSpacing w:val="360"/>
  <w:drawingGridVerticalSpacing w:val="360"/>
  <w:displayHorizontalDrawingGridEvery w:val="0"/>
  <w:displayVerticalDrawingGridEvery w:val="0"/>
  <w:characterSpacingControl w:val="doNotCompress"/>
  <w:hdrShapeDefaults>
    <o:shapedefaults v:ext="edit" spidmax="4097"/>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7E6F"/>
    <w:rsid w:val="000F3A9A"/>
    <w:rsid w:val="00191019"/>
    <w:rsid w:val="00381010"/>
    <w:rsid w:val="00544E06"/>
    <w:rsid w:val="00566271"/>
    <w:rsid w:val="005A62E1"/>
    <w:rsid w:val="005D46E3"/>
    <w:rsid w:val="006743C5"/>
    <w:rsid w:val="00782802"/>
    <w:rsid w:val="00AF7E6F"/>
    <w:rsid w:val="00D86920"/>
    <w:rsid w:val="00E05DDB"/>
    <w:rsid w:val="00FC5E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3FC08C4"/>
  <w15:docId w15:val="{F2F9A0DF-74D4-470D-A055-248A48A081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6">
    <w:lsdException w:name="header"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style>
  <w:style w:type="paragraph" w:styleId="Titolo1">
    <w:name w:val="heading 1"/>
    <w:basedOn w:val="Normale"/>
    <w:next w:val="Corpotesto"/>
    <w:link w:val="Titolo1Carattere"/>
    <w:uiPriority w:val="9"/>
    <w:qFormat/>
    <w:rsid w:val="00A10FD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Corpotesto"/>
    <w:link w:val="Titolo2Carattere"/>
    <w:uiPriority w:val="9"/>
    <w:semiHidden/>
    <w:unhideWhenUsed/>
    <w:qFormat/>
    <w:rsid w:val="00A10FD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Corpotesto"/>
    <w:link w:val="Titolo3Carattere"/>
    <w:uiPriority w:val="9"/>
    <w:semiHidden/>
    <w:unhideWhenUsed/>
    <w:qFormat/>
    <w:rsid w:val="00A10FD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Corpotesto"/>
    <w:link w:val="Titolo4Carattere"/>
    <w:uiPriority w:val="9"/>
    <w:semiHidden/>
    <w:unhideWhenUsed/>
    <w:qFormat/>
    <w:rsid w:val="00A10FD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Corpotesto"/>
    <w:link w:val="Titolo5Carattere"/>
    <w:uiPriority w:val="9"/>
    <w:semiHidden/>
    <w:unhideWhenUsed/>
    <w:qFormat/>
    <w:rsid w:val="00A10FD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Corpotesto"/>
    <w:link w:val="Titolo6Carattere"/>
    <w:uiPriority w:val="9"/>
    <w:semiHidden/>
    <w:unhideWhenUsed/>
    <w:qFormat/>
    <w:rsid w:val="00A10FD9"/>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Corpotesto"/>
    <w:link w:val="Titolo7Carattere"/>
    <w:uiPriority w:val="9"/>
    <w:semiHidden/>
    <w:unhideWhenUsed/>
    <w:qFormat/>
    <w:rsid w:val="00A10FD9"/>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Corpotesto"/>
    <w:link w:val="Titolo8Carattere"/>
    <w:uiPriority w:val="9"/>
    <w:semiHidden/>
    <w:unhideWhenUsed/>
    <w:qFormat/>
    <w:rsid w:val="00A10FD9"/>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Corpotesto"/>
    <w:link w:val="Titolo9Carattere"/>
    <w:uiPriority w:val="9"/>
    <w:semiHidden/>
    <w:unhideWhenUsed/>
    <w:qFormat/>
    <w:rsid w:val="00A10FD9"/>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qFormat/>
    <w:pPr>
      <w:spacing w:before="180" w:after="180"/>
    </w:pPr>
  </w:style>
  <w:style w:type="paragraph" w:customStyle="1" w:styleId="FirstParagraph">
    <w:name w:val="First Paragraph"/>
    <w:basedOn w:val="Corpotesto"/>
    <w:next w:val="Corpotesto"/>
    <w:qFormat/>
  </w:style>
  <w:style w:type="paragraph" w:customStyle="1" w:styleId="Compact">
    <w:name w:val="Compact"/>
    <w:basedOn w:val="Corpotesto"/>
    <w:qFormat/>
    <w:pPr>
      <w:spacing w:before="36" w:after="36"/>
    </w:pPr>
  </w:style>
  <w:style w:type="paragraph" w:styleId="Titolo">
    <w:name w:val="Title"/>
    <w:basedOn w:val="Normale"/>
    <w:next w:val="Corpotesto"/>
    <w:link w:val="TitoloCarattere"/>
    <w:uiPriority w:val="10"/>
    <w:qFormat/>
    <w:rsid w:val="00A10FD9"/>
    <w:pPr>
      <w:spacing w:after="80"/>
      <w:contextualSpacing/>
      <w:jc w:val="center"/>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A10FD9"/>
    <w:rPr>
      <w:rFonts w:asciiTheme="majorHAnsi" w:eastAsiaTheme="majorEastAsia" w:hAnsiTheme="majorHAnsi" w:cstheme="majorBidi"/>
      <w:spacing w:val="-10"/>
      <w:kern w:val="28"/>
      <w:sz w:val="56"/>
      <w:szCs w:val="56"/>
    </w:rPr>
  </w:style>
  <w:style w:type="paragraph" w:styleId="Sottotitolo">
    <w:name w:val="Subtitle"/>
    <w:basedOn w:val="Titolo"/>
    <w:next w:val="Corpotesto"/>
    <w:link w:val="SottotitoloCarattere"/>
    <w:uiPriority w:val="11"/>
    <w:qFormat/>
    <w:rsid w:val="00A10FD9"/>
    <w:pPr>
      <w:numPr>
        <w:ilvl w:val="1"/>
      </w:numPr>
    </w:pPr>
    <w:rPr>
      <w:spacing w:val="15"/>
      <w:sz w:val="28"/>
      <w:szCs w:val="28"/>
    </w:rPr>
  </w:style>
  <w:style w:type="character" w:customStyle="1" w:styleId="SottotitoloCarattere">
    <w:name w:val="Sottotitolo Carattere"/>
    <w:basedOn w:val="Carpredefinitoparagrafo"/>
    <w:link w:val="Sottotitolo"/>
    <w:uiPriority w:val="11"/>
    <w:rsid w:val="00A10FD9"/>
    <w:rPr>
      <w:rFonts w:eastAsiaTheme="majorEastAsia" w:cstheme="majorBidi"/>
      <w:color w:val="595959" w:themeColor="text1" w:themeTint="A6"/>
      <w:spacing w:val="15"/>
      <w:sz w:val="28"/>
      <w:szCs w:val="28"/>
    </w:rPr>
  </w:style>
  <w:style w:type="paragraph" w:customStyle="1" w:styleId="Author">
    <w:name w:val="Author"/>
    <w:next w:val="Corpotesto"/>
    <w:qFormat/>
    <w:pPr>
      <w:keepNext/>
      <w:keepLines/>
      <w:jc w:val="center"/>
    </w:pPr>
  </w:style>
  <w:style w:type="paragraph" w:styleId="Data">
    <w:name w:val="Date"/>
    <w:next w:val="Corpotesto"/>
    <w:qFormat/>
    <w:pPr>
      <w:keepNext/>
      <w:keepLines/>
      <w:jc w:val="center"/>
    </w:pPr>
  </w:style>
  <w:style w:type="paragraph" w:customStyle="1" w:styleId="AbstractTitle">
    <w:name w:val="Abstract Title"/>
    <w:basedOn w:val="Normale"/>
    <w:next w:val="Abstract"/>
    <w:qFormat/>
    <w:pPr>
      <w:keepNext/>
      <w:keepLines/>
      <w:spacing w:before="300" w:after="0"/>
      <w:jc w:val="center"/>
    </w:pPr>
    <w:rPr>
      <w:b/>
      <w:sz w:val="20"/>
      <w:szCs w:val="20"/>
    </w:rPr>
  </w:style>
  <w:style w:type="paragraph" w:customStyle="1" w:styleId="Abstract">
    <w:name w:val="Abstract"/>
    <w:basedOn w:val="Normale"/>
    <w:next w:val="Corpotesto"/>
    <w:qFormat/>
    <w:pPr>
      <w:keepNext/>
      <w:keepLines/>
      <w:spacing w:before="100" w:after="300"/>
    </w:pPr>
    <w:rPr>
      <w:sz w:val="20"/>
      <w:szCs w:val="20"/>
    </w:rPr>
  </w:style>
  <w:style w:type="paragraph" w:styleId="Bibliografia">
    <w:name w:val="Bibliography"/>
    <w:basedOn w:val="Normale"/>
    <w:qFormat/>
  </w:style>
  <w:style w:type="character" w:customStyle="1" w:styleId="Titolo1Carattere">
    <w:name w:val="Titolo 1 Carattere"/>
    <w:basedOn w:val="Carpredefinitoparagrafo"/>
    <w:link w:val="Titolo1"/>
    <w:uiPriority w:val="9"/>
    <w:rsid w:val="00A10FD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A10FD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A10FD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A10FD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A10FD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A10FD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A10FD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A10FD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A10FD9"/>
    <w:rPr>
      <w:rFonts w:eastAsiaTheme="majorEastAsia" w:cstheme="majorBidi"/>
      <w:color w:val="272727" w:themeColor="text1" w:themeTint="D8"/>
    </w:rPr>
  </w:style>
  <w:style w:type="paragraph" w:styleId="Testodelblocco">
    <w:name w:val="Block Text"/>
    <w:basedOn w:val="Corpotesto"/>
    <w:next w:val="Corpotesto"/>
    <w:uiPriority w:val="9"/>
    <w:unhideWhenUsed/>
    <w:qFormat/>
    <w:pPr>
      <w:spacing w:before="100" w:after="100"/>
      <w:ind w:left="480" w:right="480"/>
    </w:pPr>
  </w:style>
  <w:style w:type="paragraph" w:styleId="Testonotaapidipagina">
    <w:name w:val="footnote text"/>
    <w:basedOn w:val="Normale"/>
    <w:uiPriority w:val="9"/>
    <w:unhideWhenUsed/>
    <w:qFormat/>
  </w:style>
  <w:style w:type="paragraph" w:customStyle="1" w:styleId="FootnoteBlockText">
    <w:name w:val="Footnote Block Text"/>
    <w:basedOn w:val="Testonotaapidipagina"/>
    <w:next w:val="Testonotaapidipagina"/>
    <w:uiPriority w:val="9"/>
    <w:unhideWhenUsed/>
    <w:qFormat/>
    <w:pPr>
      <w:spacing w:before="100" w:after="100"/>
      <w:ind w:left="480" w:right="480"/>
    </w:pPr>
  </w:style>
  <w:style w:type="table" w:customStyle="1" w:styleId="Table">
    <w:name w:val="Table"/>
    <w:semiHidden/>
    <w:unhideWhenUsed/>
    <w:qFormat/>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customStyle="1" w:styleId="DefinitionTerm">
    <w:name w:val="Definition Term"/>
    <w:basedOn w:val="Normale"/>
    <w:next w:val="Definition"/>
    <w:pPr>
      <w:keepNext/>
      <w:keepLines/>
      <w:spacing w:after="0"/>
    </w:pPr>
    <w:rPr>
      <w:b/>
    </w:rPr>
  </w:style>
  <w:style w:type="paragraph" w:customStyle="1" w:styleId="Definition">
    <w:name w:val="Definition"/>
    <w:basedOn w:val="Normale"/>
  </w:style>
  <w:style w:type="paragraph" w:styleId="Didascalia">
    <w:name w:val="caption"/>
    <w:basedOn w:val="Normale"/>
    <w:link w:val="DidascaliaCarattere"/>
    <w:pPr>
      <w:spacing w:after="120"/>
    </w:pPr>
    <w:rPr>
      <w:i/>
    </w:rPr>
  </w:style>
  <w:style w:type="paragraph" w:customStyle="1" w:styleId="TableCaption">
    <w:name w:val="Table Caption"/>
    <w:basedOn w:val="Didascalia"/>
    <w:pPr>
      <w:keepNext/>
    </w:pPr>
  </w:style>
  <w:style w:type="paragraph" w:customStyle="1" w:styleId="ImageCaption">
    <w:name w:val="Image Caption"/>
    <w:basedOn w:val="Didascalia"/>
  </w:style>
  <w:style w:type="paragraph" w:customStyle="1" w:styleId="Figure">
    <w:name w:val="Figure"/>
    <w:basedOn w:val="Normale"/>
  </w:style>
  <w:style w:type="paragraph" w:customStyle="1" w:styleId="CaptionedFigure">
    <w:name w:val="Captioned Figure"/>
    <w:basedOn w:val="Figure"/>
    <w:pPr>
      <w:keepNext/>
    </w:pPr>
  </w:style>
  <w:style w:type="character" w:customStyle="1" w:styleId="DidascaliaCarattere">
    <w:name w:val="Didascalia Carattere"/>
    <w:basedOn w:val="Carpredefinitoparagrafo"/>
    <w:link w:val="Didascalia"/>
  </w:style>
  <w:style w:type="character" w:customStyle="1" w:styleId="VerbatimChar">
    <w:name w:val="Verbatim Char"/>
    <w:basedOn w:val="DidascaliaCarattere"/>
    <w:link w:val="SourceCode"/>
    <w:rPr>
      <w:rFonts w:ascii="Consolas" w:hAnsi="Consolas"/>
      <w:sz w:val="22"/>
    </w:rPr>
  </w:style>
  <w:style w:type="character" w:customStyle="1" w:styleId="SectionNumber">
    <w:name w:val="Section Number"/>
    <w:basedOn w:val="DidascaliaCarattere"/>
  </w:style>
  <w:style w:type="character" w:styleId="Rimandonotaapidipagina">
    <w:name w:val="footnote reference"/>
    <w:basedOn w:val="DidascaliaCarattere"/>
    <w:rPr>
      <w:vertAlign w:val="superscript"/>
    </w:rPr>
  </w:style>
  <w:style w:type="character" w:styleId="Collegamentoipertestuale">
    <w:name w:val="Hyperlink"/>
    <w:basedOn w:val="DidascaliaCarattere"/>
    <w:rPr>
      <w:color w:val="156082" w:themeColor="accent1"/>
    </w:rPr>
  </w:style>
  <w:style w:type="paragraph" w:styleId="Titolosommario">
    <w:name w:val="TOC Heading"/>
    <w:basedOn w:val="Titolo1"/>
    <w:next w:val="Corpotesto"/>
    <w:uiPriority w:val="39"/>
    <w:unhideWhenUsed/>
    <w:qFormat/>
    <w:pPr>
      <w:spacing w:before="240" w:line="259" w:lineRule="auto"/>
      <w:outlineLvl w:val="9"/>
    </w:pPr>
  </w:style>
  <w:style w:type="paragraph" w:customStyle="1" w:styleId="SourceCode">
    <w:name w:val="Source Code"/>
    <w:basedOn w:val="Normale"/>
    <w:link w:val="VerbatimChar"/>
    <w:pPr>
      <w:wordWrap w:val="0"/>
    </w:pPr>
  </w:style>
  <w:style w:type="character" w:customStyle="1" w:styleId="KeywordTok">
    <w:name w:val="KeywordTok"/>
    <w:basedOn w:val="VerbatimChar"/>
    <w:rPr>
      <w:rFonts w:ascii="Consolas" w:hAnsi="Consolas"/>
      <w:b/>
      <w:color w:val="007020"/>
      <w:sz w:val="22"/>
    </w:rPr>
  </w:style>
  <w:style w:type="character" w:customStyle="1" w:styleId="DataTypeTok">
    <w:name w:val="DataTypeTok"/>
    <w:basedOn w:val="VerbatimChar"/>
    <w:rPr>
      <w:rFonts w:ascii="Consolas" w:hAnsi="Consolas"/>
      <w:color w:val="902000"/>
      <w:sz w:val="22"/>
    </w:rPr>
  </w:style>
  <w:style w:type="character" w:customStyle="1" w:styleId="DecValTok">
    <w:name w:val="DecValTok"/>
    <w:basedOn w:val="VerbatimChar"/>
    <w:rPr>
      <w:rFonts w:ascii="Consolas" w:hAnsi="Consolas"/>
      <w:color w:val="40A070"/>
      <w:sz w:val="22"/>
    </w:rPr>
  </w:style>
  <w:style w:type="character" w:customStyle="1" w:styleId="BaseNTok">
    <w:name w:val="BaseNTok"/>
    <w:basedOn w:val="VerbatimChar"/>
    <w:rPr>
      <w:rFonts w:ascii="Consolas" w:hAnsi="Consolas"/>
      <w:color w:val="40A070"/>
      <w:sz w:val="22"/>
    </w:rPr>
  </w:style>
  <w:style w:type="character" w:customStyle="1" w:styleId="FloatTok">
    <w:name w:val="FloatTok"/>
    <w:basedOn w:val="VerbatimChar"/>
    <w:rPr>
      <w:rFonts w:ascii="Consolas" w:hAnsi="Consolas"/>
      <w:color w:val="40A070"/>
      <w:sz w:val="22"/>
    </w:rPr>
  </w:style>
  <w:style w:type="character" w:customStyle="1" w:styleId="ConstantTok">
    <w:name w:val="ConstantTok"/>
    <w:basedOn w:val="VerbatimChar"/>
    <w:rPr>
      <w:rFonts w:ascii="Consolas" w:hAnsi="Consolas"/>
      <w:color w:val="880000"/>
      <w:sz w:val="22"/>
    </w:rPr>
  </w:style>
  <w:style w:type="character" w:customStyle="1" w:styleId="CharTok">
    <w:name w:val="CharTok"/>
    <w:basedOn w:val="VerbatimChar"/>
    <w:rPr>
      <w:rFonts w:ascii="Consolas" w:hAnsi="Consolas"/>
      <w:color w:val="4070A0"/>
      <w:sz w:val="22"/>
    </w:rPr>
  </w:style>
  <w:style w:type="character" w:customStyle="1" w:styleId="SpecialCharTok">
    <w:name w:val="SpecialCharTok"/>
    <w:basedOn w:val="VerbatimChar"/>
    <w:rPr>
      <w:rFonts w:ascii="Consolas" w:hAnsi="Consolas"/>
      <w:color w:val="4070A0"/>
      <w:sz w:val="22"/>
    </w:rPr>
  </w:style>
  <w:style w:type="character" w:customStyle="1" w:styleId="StringTok">
    <w:name w:val="StringTok"/>
    <w:basedOn w:val="VerbatimChar"/>
    <w:rPr>
      <w:rFonts w:ascii="Consolas" w:hAnsi="Consolas"/>
      <w:color w:val="4070A0"/>
      <w:sz w:val="22"/>
    </w:rPr>
  </w:style>
  <w:style w:type="character" w:customStyle="1" w:styleId="VerbatimStringTok">
    <w:name w:val="VerbatimStringTok"/>
    <w:basedOn w:val="VerbatimChar"/>
    <w:rPr>
      <w:rFonts w:ascii="Consolas" w:hAnsi="Consolas"/>
      <w:color w:val="4070A0"/>
      <w:sz w:val="22"/>
    </w:rPr>
  </w:style>
  <w:style w:type="character" w:customStyle="1" w:styleId="SpecialStringTok">
    <w:name w:val="SpecialStringTok"/>
    <w:basedOn w:val="VerbatimChar"/>
    <w:rPr>
      <w:rFonts w:ascii="Consolas" w:hAnsi="Consolas"/>
      <w:color w:val="BB6688"/>
      <w:sz w:val="22"/>
    </w:rPr>
  </w:style>
  <w:style w:type="character" w:customStyle="1" w:styleId="ImportTok">
    <w:name w:val="ImportTok"/>
    <w:basedOn w:val="VerbatimChar"/>
    <w:rPr>
      <w:rFonts w:ascii="Consolas" w:hAnsi="Consolas"/>
      <w:b/>
      <w:color w:val="008000"/>
      <w:sz w:val="22"/>
    </w:rPr>
  </w:style>
  <w:style w:type="character" w:customStyle="1" w:styleId="CommentTok">
    <w:name w:val="CommentTok"/>
    <w:basedOn w:val="VerbatimChar"/>
    <w:rPr>
      <w:rFonts w:ascii="Consolas" w:hAnsi="Consolas"/>
      <w:i/>
      <w:color w:val="60A0B0"/>
      <w:sz w:val="22"/>
    </w:rPr>
  </w:style>
  <w:style w:type="character" w:customStyle="1" w:styleId="DocumentationTok">
    <w:name w:val="DocumentationTok"/>
    <w:basedOn w:val="VerbatimChar"/>
    <w:rPr>
      <w:rFonts w:ascii="Consolas" w:hAnsi="Consolas"/>
      <w:i/>
      <w:color w:val="BA2121"/>
      <w:sz w:val="22"/>
    </w:rPr>
  </w:style>
  <w:style w:type="character" w:customStyle="1" w:styleId="AnnotationTok">
    <w:name w:val="AnnotationTok"/>
    <w:basedOn w:val="VerbatimChar"/>
    <w:rPr>
      <w:rFonts w:ascii="Consolas" w:hAnsi="Consolas"/>
      <w:b/>
      <w:i/>
      <w:color w:val="60A0B0"/>
      <w:sz w:val="22"/>
    </w:rPr>
  </w:style>
  <w:style w:type="character" w:customStyle="1" w:styleId="CommentVarTok">
    <w:name w:val="CommentVarTok"/>
    <w:basedOn w:val="VerbatimChar"/>
    <w:rPr>
      <w:rFonts w:ascii="Consolas" w:hAnsi="Consolas"/>
      <w:b/>
      <w:i/>
      <w:color w:val="60A0B0"/>
      <w:sz w:val="22"/>
    </w:rPr>
  </w:style>
  <w:style w:type="character" w:customStyle="1" w:styleId="OtherTok">
    <w:name w:val="OtherTok"/>
    <w:basedOn w:val="VerbatimChar"/>
    <w:rPr>
      <w:rFonts w:ascii="Consolas" w:hAnsi="Consolas"/>
      <w:color w:val="007020"/>
      <w:sz w:val="22"/>
    </w:rPr>
  </w:style>
  <w:style w:type="character" w:customStyle="1" w:styleId="FunctionTok">
    <w:name w:val="FunctionTok"/>
    <w:basedOn w:val="VerbatimChar"/>
    <w:rPr>
      <w:rFonts w:ascii="Consolas" w:hAnsi="Consolas"/>
      <w:color w:val="06287E"/>
      <w:sz w:val="22"/>
    </w:rPr>
  </w:style>
  <w:style w:type="character" w:customStyle="1" w:styleId="VariableTok">
    <w:name w:val="VariableTok"/>
    <w:basedOn w:val="VerbatimChar"/>
    <w:rPr>
      <w:rFonts w:ascii="Consolas" w:hAnsi="Consolas"/>
      <w:color w:val="19177C"/>
      <w:sz w:val="22"/>
    </w:rPr>
  </w:style>
  <w:style w:type="character" w:customStyle="1" w:styleId="ControlFlowTok">
    <w:name w:val="ControlFlowTok"/>
    <w:basedOn w:val="VerbatimChar"/>
    <w:rPr>
      <w:rFonts w:ascii="Consolas" w:hAnsi="Consolas"/>
      <w:b/>
      <w:color w:val="007020"/>
      <w:sz w:val="22"/>
    </w:rPr>
  </w:style>
  <w:style w:type="character" w:customStyle="1" w:styleId="OperatorTok">
    <w:name w:val="OperatorTok"/>
    <w:basedOn w:val="VerbatimChar"/>
    <w:rPr>
      <w:rFonts w:ascii="Consolas" w:hAnsi="Consolas"/>
      <w:color w:val="666666"/>
      <w:sz w:val="22"/>
    </w:rPr>
  </w:style>
  <w:style w:type="character" w:customStyle="1" w:styleId="BuiltInTok">
    <w:name w:val="BuiltInTok"/>
    <w:basedOn w:val="VerbatimChar"/>
    <w:rPr>
      <w:rFonts w:ascii="Consolas" w:hAnsi="Consolas"/>
      <w:color w:val="008000"/>
      <w:sz w:val="22"/>
    </w:rPr>
  </w:style>
  <w:style w:type="character" w:customStyle="1" w:styleId="ExtensionTok">
    <w:name w:val="ExtensionTok"/>
    <w:basedOn w:val="VerbatimChar"/>
    <w:rPr>
      <w:rFonts w:ascii="Consolas" w:hAnsi="Consolas"/>
      <w:sz w:val="22"/>
    </w:rPr>
  </w:style>
  <w:style w:type="character" w:customStyle="1" w:styleId="PreprocessorTok">
    <w:name w:val="PreprocessorTok"/>
    <w:basedOn w:val="VerbatimChar"/>
    <w:rPr>
      <w:rFonts w:ascii="Consolas" w:hAnsi="Consolas"/>
      <w:color w:val="BC7A00"/>
      <w:sz w:val="22"/>
    </w:rPr>
  </w:style>
  <w:style w:type="character" w:customStyle="1" w:styleId="AttributeTok">
    <w:name w:val="AttributeTok"/>
    <w:basedOn w:val="VerbatimChar"/>
    <w:rPr>
      <w:rFonts w:ascii="Consolas" w:hAnsi="Consolas"/>
      <w:color w:val="7D9029"/>
      <w:sz w:val="22"/>
    </w:rPr>
  </w:style>
  <w:style w:type="character" w:customStyle="1" w:styleId="RegionMarkerTok">
    <w:name w:val="RegionMarkerTok"/>
    <w:basedOn w:val="VerbatimChar"/>
    <w:rPr>
      <w:rFonts w:ascii="Consolas" w:hAnsi="Consolas"/>
      <w:sz w:val="22"/>
    </w:rPr>
  </w:style>
  <w:style w:type="character" w:customStyle="1" w:styleId="InformationTok">
    <w:name w:val="InformationTok"/>
    <w:basedOn w:val="VerbatimChar"/>
    <w:rPr>
      <w:rFonts w:ascii="Consolas" w:hAnsi="Consolas"/>
      <w:b/>
      <w:i/>
      <w:color w:val="60A0B0"/>
      <w:sz w:val="22"/>
    </w:rPr>
  </w:style>
  <w:style w:type="character" w:customStyle="1" w:styleId="WarningTok">
    <w:name w:val="WarningTok"/>
    <w:basedOn w:val="VerbatimChar"/>
    <w:rPr>
      <w:rFonts w:ascii="Consolas" w:hAnsi="Consolas"/>
      <w:b/>
      <w:i/>
      <w:color w:val="60A0B0"/>
      <w:sz w:val="22"/>
    </w:rPr>
  </w:style>
  <w:style w:type="character" w:customStyle="1" w:styleId="AlertTok">
    <w:name w:val="AlertTok"/>
    <w:basedOn w:val="VerbatimChar"/>
    <w:rPr>
      <w:rFonts w:ascii="Consolas" w:hAnsi="Consolas"/>
      <w:b/>
      <w:color w:val="FF0000"/>
      <w:sz w:val="22"/>
    </w:rPr>
  </w:style>
  <w:style w:type="character" w:customStyle="1" w:styleId="ErrorTok">
    <w:name w:val="ErrorTok"/>
    <w:basedOn w:val="VerbatimChar"/>
    <w:rPr>
      <w:rFonts w:ascii="Consolas" w:hAnsi="Consolas"/>
      <w:b/>
      <w:color w:val="FF0000"/>
      <w:sz w:val="22"/>
    </w:rPr>
  </w:style>
  <w:style w:type="character" w:customStyle="1" w:styleId="NormalTok">
    <w:name w:val="NormalTok"/>
    <w:basedOn w:val="VerbatimChar"/>
    <w:rPr>
      <w:rFonts w:ascii="Consolas" w:hAnsi="Consolas"/>
      <w:sz w:val="22"/>
    </w:rPr>
  </w:style>
  <w:style w:type="paragraph" w:styleId="Intestazione">
    <w:name w:val="header"/>
    <w:basedOn w:val="Normale"/>
    <w:link w:val="IntestazioneCarattere"/>
    <w:uiPriority w:val="99"/>
    <w:rsid w:val="00544E06"/>
    <w:pPr>
      <w:tabs>
        <w:tab w:val="center" w:pos="4819"/>
        <w:tab w:val="right" w:pos="9638"/>
      </w:tabs>
      <w:spacing w:after="0"/>
    </w:pPr>
  </w:style>
  <w:style w:type="character" w:customStyle="1" w:styleId="IntestazioneCarattere">
    <w:name w:val="Intestazione Carattere"/>
    <w:basedOn w:val="Carpredefinitoparagrafo"/>
    <w:link w:val="Intestazione"/>
    <w:uiPriority w:val="99"/>
    <w:rsid w:val="00544E06"/>
  </w:style>
  <w:style w:type="paragraph" w:styleId="Pidipagina">
    <w:name w:val="footer"/>
    <w:basedOn w:val="Normale"/>
    <w:link w:val="PidipaginaCarattere"/>
    <w:rsid w:val="00544E06"/>
    <w:pPr>
      <w:tabs>
        <w:tab w:val="center" w:pos="4819"/>
        <w:tab w:val="right" w:pos="9638"/>
      </w:tabs>
      <w:spacing w:after="0"/>
    </w:pPr>
  </w:style>
  <w:style w:type="character" w:customStyle="1" w:styleId="PidipaginaCarattere">
    <w:name w:val="Piè di pagina Carattere"/>
    <w:basedOn w:val="Carpredefinitoparagrafo"/>
    <w:link w:val="Pidipagina"/>
    <w:rsid w:val="00544E06"/>
  </w:style>
  <w:style w:type="table" w:styleId="Grigliatabella">
    <w:name w:val="Table Grid"/>
    <w:basedOn w:val="Tabellanormale"/>
    <w:rsid w:val="00544E06"/>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24</TotalTime>
  <Pages>2</Pages>
  <Words>550</Words>
  <Characters>3135</Characters>
  <Application>Microsoft Office Word</Application>
  <DocSecurity>0</DocSecurity>
  <Lines>26</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Giorgio Chillè</dc:creator>
  <cp:keywords/>
  <cp:lastModifiedBy>Elisabetta Bocchi</cp:lastModifiedBy>
  <cp:revision>7</cp:revision>
  <dcterms:created xsi:type="dcterms:W3CDTF">2025-10-14T10:24:00Z</dcterms:created>
  <dcterms:modified xsi:type="dcterms:W3CDTF">2025-10-14T11:25:00Z</dcterms:modified>
</cp:coreProperties>
</file>