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2E45E5" w14:textId="17E2B647" w:rsidR="000755B5" w:rsidRPr="00A74906" w:rsidRDefault="00C15FDE" w:rsidP="00BF3C33">
      <w:pPr>
        <w:spacing w:after="0" w:line="360" w:lineRule="auto"/>
        <w:contextualSpacing/>
        <w:jc w:val="both"/>
        <w:rPr>
          <w:rFonts w:ascii="Titillium Web" w:eastAsia="Times New Roman" w:hAnsi="Titillium Web" w:cs="Times New Roman"/>
          <w:b/>
          <w:bCs/>
          <w:color w:val="333333"/>
          <w:sz w:val="20"/>
          <w:szCs w:val="20"/>
          <w:lang w:eastAsia="it-IT"/>
        </w:rPr>
      </w:pPr>
      <w:r>
        <w:rPr>
          <w:rFonts w:ascii="Titillium Web" w:eastAsia="Times New Roman" w:hAnsi="Titillium Web" w:cs="Times New Roman"/>
          <w:b/>
          <w:bCs/>
          <w:color w:val="333333"/>
          <w:sz w:val="20"/>
          <w:szCs w:val="20"/>
          <w:lang w:eastAsia="it-IT"/>
        </w:rPr>
        <w:t>Avviso</w:t>
      </w:r>
      <w:r w:rsidR="000755B5" w:rsidRPr="00A74906">
        <w:rPr>
          <w:rFonts w:ascii="Titillium Web" w:eastAsia="Times New Roman" w:hAnsi="Titillium Web" w:cs="Times New Roman"/>
          <w:b/>
          <w:bCs/>
          <w:color w:val="333333"/>
          <w:sz w:val="20"/>
          <w:szCs w:val="20"/>
          <w:lang w:eastAsia="it-IT"/>
        </w:rPr>
        <w:t xml:space="preserve"> pubblico per </w:t>
      </w:r>
      <w:r w:rsidR="000B00EA" w:rsidRPr="00A74906">
        <w:rPr>
          <w:rFonts w:ascii="Titillium Web" w:eastAsia="Times New Roman" w:hAnsi="Titillium Web" w:cs="Times New Roman"/>
          <w:b/>
          <w:bCs/>
          <w:color w:val="333333"/>
          <w:sz w:val="20"/>
          <w:szCs w:val="20"/>
          <w:lang w:eastAsia="it-IT"/>
        </w:rPr>
        <w:t xml:space="preserve">la costituzione di un elenco di soggetti aventi i requisiti di esperienza e qualificazione professionale previsti </w:t>
      </w:r>
      <w:r w:rsidR="00B303AB">
        <w:rPr>
          <w:rFonts w:ascii="Titillium Web" w:eastAsia="Times New Roman" w:hAnsi="Titillium Web" w:cs="Times New Roman"/>
          <w:b/>
          <w:bCs/>
          <w:color w:val="333333"/>
          <w:sz w:val="20"/>
          <w:szCs w:val="20"/>
          <w:lang w:eastAsia="it-IT"/>
        </w:rPr>
        <w:t>ex art. 6 della legge 11/9/2020 n.120</w:t>
      </w:r>
      <w:r w:rsidR="009A129C">
        <w:rPr>
          <w:rFonts w:ascii="Titillium Web" w:eastAsia="Times New Roman" w:hAnsi="Titillium Web" w:cs="Times New Roman"/>
          <w:b/>
          <w:bCs/>
          <w:color w:val="333333"/>
          <w:sz w:val="20"/>
          <w:szCs w:val="20"/>
          <w:lang w:eastAsia="it-IT"/>
        </w:rPr>
        <w:t xml:space="preserve"> </w:t>
      </w:r>
      <w:r w:rsidR="009A129C" w:rsidRPr="007A6AD7">
        <w:rPr>
          <w:rFonts w:ascii="Titillium Web" w:eastAsia="Times New Roman" w:hAnsi="Titillium Web" w:cs="Times New Roman"/>
          <w:b/>
          <w:bCs/>
          <w:color w:val="333333"/>
          <w:sz w:val="20"/>
          <w:szCs w:val="20"/>
          <w:lang w:eastAsia="it-IT"/>
        </w:rPr>
        <w:t xml:space="preserve">e Linee Guida </w:t>
      </w:r>
      <w:r w:rsidR="001818AF" w:rsidRPr="007A6AD7">
        <w:rPr>
          <w:rFonts w:ascii="Titillium Web" w:eastAsia="Times New Roman" w:hAnsi="Titillium Web" w:cs="Times New Roman"/>
          <w:b/>
          <w:bCs/>
          <w:color w:val="333333"/>
          <w:sz w:val="20"/>
          <w:szCs w:val="20"/>
          <w:lang w:eastAsia="it-IT"/>
        </w:rPr>
        <w:t xml:space="preserve">del Ministero delle Infrastrutture e della </w:t>
      </w:r>
      <w:r w:rsidR="00E67B11" w:rsidRPr="007A6AD7">
        <w:rPr>
          <w:rFonts w:ascii="Titillium Web" w:eastAsia="Times New Roman" w:hAnsi="Titillium Web" w:cs="Times New Roman"/>
          <w:b/>
          <w:bCs/>
          <w:color w:val="333333"/>
          <w:sz w:val="20"/>
          <w:szCs w:val="20"/>
          <w:lang w:eastAsia="it-IT"/>
        </w:rPr>
        <w:t>M</w:t>
      </w:r>
      <w:r w:rsidR="001818AF" w:rsidRPr="007A6AD7">
        <w:rPr>
          <w:rFonts w:ascii="Titillium Web" w:eastAsia="Times New Roman" w:hAnsi="Titillium Web" w:cs="Times New Roman"/>
          <w:b/>
          <w:bCs/>
          <w:color w:val="333333"/>
          <w:sz w:val="20"/>
          <w:szCs w:val="20"/>
          <w:lang w:eastAsia="it-IT"/>
        </w:rPr>
        <w:t xml:space="preserve">obilità </w:t>
      </w:r>
      <w:r w:rsidR="0025072F" w:rsidRPr="007A6AD7">
        <w:rPr>
          <w:rFonts w:ascii="Titillium Web" w:eastAsia="Times New Roman" w:hAnsi="Titillium Web" w:cs="Times New Roman"/>
          <w:b/>
          <w:bCs/>
          <w:color w:val="333333"/>
          <w:sz w:val="20"/>
          <w:szCs w:val="20"/>
          <w:lang w:eastAsia="it-IT"/>
        </w:rPr>
        <w:t>S</w:t>
      </w:r>
      <w:r w:rsidR="00E67B11" w:rsidRPr="007A6AD7">
        <w:rPr>
          <w:rFonts w:ascii="Titillium Web" w:eastAsia="Times New Roman" w:hAnsi="Titillium Web" w:cs="Times New Roman"/>
          <w:b/>
          <w:bCs/>
          <w:color w:val="333333"/>
          <w:sz w:val="20"/>
          <w:szCs w:val="20"/>
          <w:lang w:eastAsia="it-IT"/>
        </w:rPr>
        <w:t xml:space="preserve">ostenibili </w:t>
      </w:r>
      <w:r w:rsidR="009A129C" w:rsidRPr="007A6AD7">
        <w:rPr>
          <w:rFonts w:ascii="Titillium Web" w:eastAsia="Times New Roman" w:hAnsi="Titillium Web" w:cs="Times New Roman"/>
          <w:b/>
          <w:bCs/>
          <w:color w:val="333333"/>
          <w:sz w:val="20"/>
          <w:szCs w:val="20"/>
          <w:lang w:eastAsia="it-IT"/>
        </w:rPr>
        <w:t>ex art. 6 comma 8 bis Legge 11/9/2020 n.120</w:t>
      </w:r>
      <w:r w:rsidR="009A129C">
        <w:rPr>
          <w:rFonts w:ascii="Titillium Web" w:eastAsia="Times New Roman" w:hAnsi="Titillium Web" w:cs="Times New Roman"/>
          <w:b/>
          <w:bCs/>
          <w:color w:val="333333"/>
          <w:sz w:val="20"/>
          <w:szCs w:val="20"/>
          <w:lang w:eastAsia="it-IT"/>
        </w:rPr>
        <w:t xml:space="preserve"> </w:t>
      </w:r>
      <w:r w:rsidR="00B303AB">
        <w:rPr>
          <w:rFonts w:ascii="Titillium Web" w:eastAsia="Times New Roman" w:hAnsi="Titillium Web" w:cs="Times New Roman"/>
          <w:b/>
          <w:bCs/>
          <w:color w:val="333333"/>
          <w:sz w:val="20"/>
          <w:szCs w:val="20"/>
          <w:lang w:eastAsia="it-IT"/>
        </w:rPr>
        <w:t xml:space="preserve">, </w:t>
      </w:r>
      <w:r w:rsidR="000B00EA" w:rsidRPr="00A74906">
        <w:rPr>
          <w:rFonts w:ascii="Titillium Web" w:eastAsia="Times New Roman" w:hAnsi="Titillium Web" w:cs="Times New Roman"/>
          <w:b/>
          <w:bCs/>
          <w:color w:val="333333"/>
          <w:sz w:val="20"/>
          <w:szCs w:val="20"/>
          <w:lang w:eastAsia="it-IT"/>
        </w:rPr>
        <w:t xml:space="preserve"> al fine di individuare i componenti del </w:t>
      </w:r>
      <w:r w:rsidR="00A74906" w:rsidRPr="00A74906">
        <w:rPr>
          <w:rFonts w:ascii="Titillium Web" w:eastAsia="Times New Roman" w:hAnsi="Titillium Web" w:cs="Times New Roman"/>
          <w:b/>
          <w:bCs/>
          <w:color w:val="333333"/>
          <w:sz w:val="20"/>
          <w:szCs w:val="20"/>
          <w:lang w:eastAsia="it-IT"/>
        </w:rPr>
        <w:t>C</w:t>
      </w:r>
      <w:r w:rsidR="000B00EA" w:rsidRPr="00A74906">
        <w:rPr>
          <w:rFonts w:ascii="Titillium Web" w:eastAsia="Times New Roman" w:hAnsi="Titillium Web" w:cs="Times New Roman"/>
          <w:b/>
          <w:bCs/>
          <w:color w:val="333333"/>
          <w:sz w:val="20"/>
          <w:szCs w:val="20"/>
          <w:lang w:eastAsia="it-IT"/>
        </w:rPr>
        <w:t xml:space="preserve">ollegio </w:t>
      </w:r>
      <w:r w:rsidR="00A74906" w:rsidRPr="00A74906">
        <w:rPr>
          <w:rFonts w:ascii="Titillium Web" w:eastAsia="Times New Roman" w:hAnsi="Titillium Web" w:cs="Times New Roman"/>
          <w:b/>
          <w:bCs/>
          <w:color w:val="333333"/>
          <w:sz w:val="20"/>
          <w:szCs w:val="20"/>
          <w:lang w:eastAsia="it-IT"/>
        </w:rPr>
        <w:t>C</w:t>
      </w:r>
      <w:r w:rsidR="000B00EA" w:rsidRPr="00A74906">
        <w:rPr>
          <w:rFonts w:ascii="Titillium Web" w:eastAsia="Times New Roman" w:hAnsi="Titillium Web" w:cs="Times New Roman"/>
          <w:b/>
          <w:bCs/>
          <w:color w:val="333333"/>
          <w:sz w:val="20"/>
          <w:szCs w:val="20"/>
          <w:lang w:eastAsia="it-IT"/>
        </w:rPr>
        <w:t xml:space="preserve">onsultivo </w:t>
      </w:r>
      <w:r w:rsidR="00A74906" w:rsidRPr="00A74906">
        <w:rPr>
          <w:rFonts w:ascii="Titillium Web" w:eastAsia="Times New Roman" w:hAnsi="Titillium Web" w:cs="Times New Roman"/>
          <w:b/>
          <w:bCs/>
          <w:color w:val="333333"/>
          <w:sz w:val="20"/>
          <w:szCs w:val="20"/>
          <w:lang w:eastAsia="it-IT"/>
        </w:rPr>
        <w:t>T</w:t>
      </w:r>
      <w:r w:rsidR="000B00EA" w:rsidRPr="00A74906">
        <w:rPr>
          <w:rFonts w:ascii="Titillium Web" w:eastAsia="Times New Roman" w:hAnsi="Titillium Web" w:cs="Times New Roman"/>
          <w:b/>
          <w:bCs/>
          <w:color w:val="333333"/>
          <w:sz w:val="20"/>
          <w:szCs w:val="20"/>
          <w:lang w:eastAsia="it-IT"/>
        </w:rPr>
        <w:t>ecnico</w:t>
      </w:r>
      <w:r w:rsidR="000755B5" w:rsidRPr="00A74906">
        <w:rPr>
          <w:rFonts w:ascii="Titillium Web" w:eastAsia="Times New Roman" w:hAnsi="Titillium Web" w:cs="Times New Roman"/>
          <w:b/>
          <w:bCs/>
          <w:color w:val="333333"/>
          <w:sz w:val="20"/>
          <w:szCs w:val="20"/>
          <w:lang w:eastAsia="it-IT"/>
        </w:rPr>
        <w:t xml:space="preserve"> </w:t>
      </w:r>
      <w:r w:rsidR="000755B5" w:rsidRPr="007A1DC1">
        <w:rPr>
          <w:rFonts w:ascii="Titillium Web" w:eastAsia="Times New Roman" w:hAnsi="Titillium Web" w:cs="Times New Roman"/>
          <w:b/>
          <w:bCs/>
          <w:color w:val="333333"/>
          <w:sz w:val="20"/>
          <w:szCs w:val="20"/>
          <w:lang w:eastAsia="it-IT"/>
        </w:rPr>
        <w:t xml:space="preserve">- Rif. </w:t>
      </w:r>
      <w:r w:rsidR="00BF3C33" w:rsidRPr="007A1DC1">
        <w:rPr>
          <w:rFonts w:ascii="Titillium Web" w:eastAsia="Times New Roman" w:hAnsi="Titillium Web" w:cs="Times New Roman"/>
          <w:b/>
          <w:bCs/>
          <w:color w:val="333333"/>
          <w:sz w:val="20"/>
          <w:szCs w:val="20"/>
          <w:lang w:eastAsia="it-IT"/>
        </w:rPr>
        <w:t>SRMF8002022028803</w:t>
      </w:r>
    </w:p>
    <w:p w14:paraId="3D3C3C08" w14:textId="77777777" w:rsidR="000755B5" w:rsidRPr="00A74906" w:rsidRDefault="000755B5" w:rsidP="00BF3C33">
      <w:pPr>
        <w:spacing w:after="0" w:line="360" w:lineRule="auto"/>
        <w:contextualSpacing/>
        <w:jc w:val="both"/>
        <w:outlineLvl w:val="1"/>
        <w:rPr>
          <w:rFonts w:ascii="Titillium Web" w:eastAsia="Times New Roman" w:hAnsi="Titillium Web" w:cs="Times New Roman"/>
          <w:b/>
          <w:bCs/>
          <w:color w:val="000000"/>
          <w:sz w:val="20"/>
          <w:szCs w:val="20"/>
          <w:lang w:eastAsia="it-IT"/>
        </w:rPr>
      </w:pPr>
      <w:r w:rsidRPr="00A74906">
        <w:rPr>
          <w:rFonts w:ascii="Titillium Web" w:eastAsia="Times New Roman" w:hAnsi="Titillium Web" w:cs="Times New Roman"/>
          <w:b/>
          <w:bCs/>
          <w:color w:val="000000"/>
          <w:sz w:val="20"/>
          <w:szCs w:val="20"/>
          <w:lang w:eastAsia="it-IT"/>
        </w:rPr>
        <w:t>Bandi online</w:t>
      </w:r>
    </w:p>
    <w:p w14:paraId="4AD7D094" w14:textId="7735668F" w:rsidR="000755B5" w:rsidRPr="00A74906" w:rsidRDefault="000755B5" w:rsidP="00BF3C33">
      <w:pPr>
        <w:spacing w:after="0" w:line="360" w:lineRule="auto"/>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noProof/>
          <w:color w:val="333333"/>
          <w:sz w:val="20"/>
          <w:szCs w:val="20"/>
          <w:lang w:eastAsia="it-IT"/>
        </w:rPr>
        <w:drawing>
          <wp:inline distT="0" distB="0" distL="0" distR="0" wp14:anchorId="731A3348" wp14:editId="35BDC8CF">
            <wp:extent cx="4766818" cy="4766818"/>
            <wp:effectExtent l="0" t="0" r="0" b="0"/>
            <wp:docPr id="1" name="Immagine 1" descr="Avviso pubblico per l’assunzione a tempo indeterminato di un senior Buyer per la progettazione di gare di lavori e servizi di ingegneria e architettura  -  Rif. ARIA2022_DCL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vviso pubblico per l’assunzione a tempo indeterminato di un senior Buyer per la progettazione di gare di lavori e servizi di ingegneria e architettura  -  Rif. ARIA2022_DCL0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flipH="1">
                      <a:off x="0" y="0"/>
                      <a:ext cx="4777159" cy="4777159"/>
                    </a:xfrm>
                    <a:prstGeom prst="rect">
                      <a:avLst/>
                    </a:prstGeom>
                    <a:noFill/>
                    <a:ln>
                      <a:noFill/>
                    </a:ln>
                  </pic:spPr>
                </pic:pic>
              </a:graphicData>
            </a:graphic>
          </wp:inline>
        </w:drawing>
      </w:r>
    </w:p>
    <w:p w14:paraId="54699727" w14:textId="3122E17F" w:rsidR="000755B5" w:rsidRPr="00A74906" w:rsidRDefault="000755B5" w:rsidP="00BF3C33">
      <w:pPr>
        <w:spacing w:after="0" w:line="360" w:lineRule="auto"/>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 </w:t>
      </w:r>
    </w:p>
    <w:p w14:paraId="71D8A7C1" w14:textId="438F0E39" w:rsidR="000755B5" w:rsidRPr="00A74906" w:rsidRDefault="000755B5" w:rsidP="00BF3C33">
      <w:pPr>
        <w:spacing w:after="0" w:line="360" w:lineRule="auto"/>
        <w:contextualSpacing/>
        <w:jc w:val="both"/>
        <w:rPr>
          <w:rFonts w:ascii="Titillium Web" w:eastAsia="Times New Roman" w:hAnsi="Titillium Web" w:cs="Times New Roman"/>
          <w:color w:val="333333"/>
          <w:sz w:val="20"/>
          <w:szCs w:val="20"/>
          <w:lang w:eastAsia="it-IT"/>
        </w:rPr>
      </w:pPr>
      <w:r w:rsidRPr="00BF3C33">
        <w:rPr>
          <w:rFonts w:ascii="Titillium Web" w:eastAsia="Times New Roman" w:hAnsi="Titillium Web" w:cs="Times New Roman"/>
          <w:color w:val="333333"/>
          <w:sz w:val="20"/>
          <w:szCs w:val="20"/>
          <w:lang w:eastAsia="it-IT"/>
        </w:rPr>
        <w:t>Codice: </w:t>
      </w:r>
      <w:r w:rsidR="00BF3C33" w:rsidRPr="00BF3C33">
        <w:rPr>
          <w:rFonts w:ascii="Titillium Web" w:eastAsia="Times New Roman" w:hAnsi="Titillium Web" w:cs="Times New Roman"/>
          <w:b/>
          <w:bCs/>
          <w:color w:val="333333"/>
          <w:sz w:val="20"/>
          <w:szCs w:val="20"/>
          <w:lang w:eastAsia="it-IT"/>
        </w:rPr>
        <w:t>SRMF8002022028803</w:t>
      </w:r>
    </w:p>
    <w:p w14:paraId="1FA8893B" w14:textId="37138D88" w:rsidR="000755B5" w:rsidRPr="00BF3C33" w:rsidRDefault="000755B5" w:rsidP="00BF3C33">
      <w:pPr>
        <w:spacing w:after="0" w:line="360" w:lineRule="auto"/>
        <w:contextualSpacing/>
        <w:jc w:val="both"/>
        <w:rPr>
          <w:rFonts w:ascii="Titillium Web" w:eastAsia="Times New Roman" w:hAnsi="Titillium Web" w:cs="Times New Roman"/>
          <w:color w:val="333333"/>
          <w:sz w:val="20"/>
          <w:szCs w:val="20"/>
          <w:lang w:eastAsia="it-IT"/>
        </w:rPr>
      </w:pPr>
      <w:r w:rsidRPr="00BF3C33">
        <w:rPr>
          <w:rFonts w:ascii="Titillium Web" w:eastAsia="Times New Roman" w:hAnsi="Titillium Web" w:cs="Times New Roman"/>
          <w:color w:val="333333"/>
          <w:sz w:val="20"/>
          <w:szCs w:val="20"/>
          <w:lang w:eastAsia="it-IT"/>
        </w:rPr>
        <w:t>Domande dal: </w:t>
      </w:r>
      <w:r w:rsidR="00BF3C33" w:rsidRPr="00BF3C33">
        <w:rPr>
          <w:rFonts w:ascii="Titillium Web" w:eastAsia="Times New Roman" w:hAnsi="Titillium Web" w:cs="Times New Roman"/>
          <w:b/>
          <w:bCs/>
          <w:color w:val="333333"/>
          <w:sz w:val="20"/>
          <w:szCs w:val="20"/>
          <w:lang w:eastAsia="it-IT"/>
        </w:rPr>
        <w:t>06</w:t>
      </w:r>
      <w:r w:rsidRPr="00BF3C33">
        <w:rPr>
          <w:rFonts w:ascii="Titillium Web" w:eastAsia="Times New Roman" w:hAnsi="Titillium Web" w:cs="Times New Roman"/>
          <w:b/>
          <w:bCs/>
          <w:color w:val="333333"/>
          <w:sz w:val="20"/>
          <w:szCs w:val="20"/>
          <w:lang w:eastAsia="it-IT"/>
        </w:rPr>
        <w:t>/</w:t>
      </w:r>
      <w:r w:rsidR="00BF3C33" w:rsidRPr="00BF3C33">
        <w:rPr>
          <w:rFonts w:ascii="Titillium Web" w:eastAsia="Times New Roman" w:hAnsi="Titillium Web" w:cs="Times New Roman"/>
          <w:b/>
          <w:bCs/>
          <w:color w:val="333333"/>
          <w:sz w:val="20"/>
          <w:szCs w:val="20"/>
          <w:lang w:eastAsia="it-IT"/>
        </w:rPr>
        <w:t>12</w:t>
      </w:r>
      <w:r w:rsidRPr="00BF3C33">
        <w:rPr>
          <w:rFonts w:ascii="Titillium Web" w:eastAsia="Times New Roman" w:hAnsi="Titillium Web" w:cs="Times New Roman"/>
          <w:b/>
          <w:bCs/>
          <w:color w:val="333333"/>
          <w:sz w:val="20"/>
          <w:szCs w:val="20"/>
          <w:lang w:eastAsia="it-IT"/>
        </w:rPr>
        <w:t>/2022 ,</w:t>
      </w:r>
      <w:r w:rsidRPr="00BF3C33">
        <w:rPr>
          <w:rFonts w:ascii="Titillium Web" w:eastAsia="Times New Roman" w:hAnsi="Titillium Web" w:cs="Times New Roman"/>
          <w:color w:val="333333"/>
          <w:sz w:val="20"/>
          <w:szCs w:val="20"/>
          <w:lang w:eastAsia="it-IT"/>
        </w:rPr>
        <w:t> ore 10:00</w:t>
      </w:r>
    </w:p>
    <w:p w14:paraId="30ADFBF4" w14:textId="0B394EC7" w:rsidR="000755B5" w:rsidRPr="00A74906" w:rsidRDefault="000755B5" w:rsidP="00BF3C33">
      <w:pPr>
        <w:spacing w:after="0" w:line="360" w:lineRule="auto"/>
        <w:contextualSpacing/>
        <w:jc w:val="both"/>
        <w:rPr>
          <w:rFonts w:ascii="Titillium Web" w:eastAsia="Times New Roman" w:hAnsi="Titillium Web" w:cs="Times New Roman"/>
          <w:color w:val="333333"/>
          <w:sz w:val="20"/>
          <w:szCs w:val="20"/>
          <w:lang w:eastAsia="it-IT"/>
        </w:rPr>
      </w:pPr>
      <w:r w:rsidRPr="00BF3C33">
        <w:rPr>
          <w:rFonts w:ascii="Titillium Web" w:eastAsia="Times New Roman" w:hAnsi="Titillium Web" w:cs="Times New Roman"/>
          <w:color w:val="333333"/>
          <w:sz w:val="20"/>
          <w:szCs w:val="20"/>
          <w:lang w:eastAsia="it-IT"/>
        </w:rPr>
        <w:t>Scade il: </w:t>
      </w:r>
      <w:r w:rsidR="00BF3C33" w:rsidRPr="00BF3C33">
        <w:rPr>
          <w:rFonts w:ascii="Titillium Web" w:eastAsia="Times New Roman" w:hAnsi="Titillium Web" w:cs="Times New Roman"/>
          <w:b/>
          <w:bCs/>
          <w:color w:val="333333"/>
          <w:sz w:val="20"/>
          <w:szCs w:val="20"/>
          <w:lang w:eastAsia="it-IT"/>
        </w:rPr>
        <w:t>30</w:t>
      </w:r>
      <w:r w:rsidRPr="00BF3C33">
        <w:rPr>
          <w:rFonts w:ascii="Titillium Web" w:eastAsia="Times New Roman" w:hAnsi="Titillium Web" w:cs="Times New Roman"/>
          <w:b/>
          <w:bCs/>
          <w:color w:val="333333"/>
          <w:sz w:val="20"/>
          <w:szCs w:val="20"/>
          <w:lang w:eastAsia="it-IT"/>
        </w:rPr>
        <w:t>/</w:t>
      </w:r>
      <w:r w:rsidR="00BF3C33" w:rsidRPr="00BF3C33">
        <w:rPr>
          <w:rFonts w:ascii="Titillium Web" w:eastAsia="Times New Roman" w:hAnsi="Titillium Web" w:cs="Times New Roman"/>
          <w:b/>
          <w:bCs/>
          <w:color w:val="333333"/>
          <w:sz w:val="20"/>
          <w:szCs w:val="20"/>
          <w:lang w:eastAsia="it-IT"/>
        </w:rPr>
        <w:t>06</w:t>
      </w:r>
      <w:r w:rsidRPr="00BF3C33">
        <w:rPr>
          <w:rFonts w:ascii="Titillium Web" w:eastAsia="Times New Roman" w:hAnsi="Titillium Web" w:cs="Times New Roman"/>
          <w:b/>
          <w:bCs/>
          <w:color w:val="333333"/>
          <w:sz w:val="20"/>
          <w:szCs w:val="20"/>
          <w:lang w:eastAsia="it-IT"/>
        </w:rPr>
        <w:t>/202</w:t>
      </w:r>
      <w:r w:rsidR="00BF3C33" w:rsidRPr="00BF3C33">
        <w:rPr>
          <w:rFonts w:ascii="Titillium Web" w:eastAsia="Times New Roman" w:hAnsi="Titillium Web" w:cs="Times New Roman"/>
          <w:b/>
          <w:bCs/>
          <w:color w:val="333333"/>
          <w:sz w:val="20"/>
          <w:szCs w:val="20"/>
          <w:lang w:eastAsia="it-IT"/>
        </w:rPr>
        <w:t>3</w:t>
      </w:r>
      <w:r w:rsidRPr="00BF3C33">
        <w:rPr>
          <w:rFonts w:ascii="Titillium Web" w:eastAsia="Times New Roman" w:hAnsi="Titillium Web" w:cs="Times New Roman"/>
          <w:b/>
          <w:bCs/>
          <w:color w:val="333333"/>
          <w:sz w:val="20"/>
          <w:szCs w:val="20"/>
          <w:lang w:eastAsia="it-IT"/>
        </w:rPr>
        <w:t xml:space="preserve"> ,</w:t>
      </w:r>
      <w:r w:rsidRPr="00BF3C33">
        <w:rPr>
          <w:rFonts w:ascii="Titillium Web" w:eastAsia="Times New Roman" w:hAnsi="Titillium Web" w:cs="Times New Roman"/>
          <w:color w:val="333333"/>
          <w:sz w:val="20"/>
          <w:szCs w:val="20"/>
          <w:lang w:eastAsia="it-IT"/>
        </w:rPr>
        <w:t> ore 16:00</w:t>
      </w:r>
      <w:r w:rsidRPr="00A74906">
        <w:rPr>
          <w:rFonts w:ascii="Titillium Web" w:eastAsia="Times New Roman" w:hAnsi="Titillium Web" w:cs="Times New Roman"/>
          <w:color w:val="333333"/>
          <w:sz w:val="20"/>
          <w:szCs w:val="20"/>
          <w:lang w:eastAsia="it-IT"/>
        </w:rPr>
        <w:t> </w:t>
      </w:r>
    </w:p>
    <w:p w14:paraId="41253BF4" w14:textId="04D2BCF2" w:rsidR="000755B5" w:rsidRPr="00A74906" w:rsidRDefault="000755B5" w:rsidP="00BF3C33">
      <w:pPr>
        <w:spacing w:after="0" w:line="360" w:lineRule="auto"/>
        <w:contextualSpacing/>
        <w:jc w:val="both"/>
        <w:rPr>
          <w:rFonts w:ascii="Titillium Web" w:eastAsia="Times New Roman" w:hAnsi="Titillium Web" w:cs="Times New Roman"/>
          <w:color w:val="333333"/>
          <w:sz w:val="20"/>
          <w:szCs w:val="20"/>
          <w:lang w:eastAsia="it-IT"/>
        </w:rPr>
      </w:pPr>
    </w:p>
    <w:p w14:paraId="768858A9" w14:textId="77777777" w:rsidR="000755B5" w:rsidRPr="00A74906" w:rsidRDefault="000755B5" w:rsidP="00BF3C33">
      <w:pPr>
        <w:spacing w:after="0" w:line="360" w:lineRule="auto"/>
        <w:ind w:left="570"/>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 </w:t>
      </w:r>
    </w:p>
    <w:p w14:paraId="447D9EE3" w14:textId="5414DB3E" w:rsidR="00AB5344" w:rsidRDefault="00AB5344" w:rsidP="00BF3C33">
      <w:pPr>
        <w:spacing w:after="0" w:line="360" w:lineRule="auto"/>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 xml:space="preserve">L’Azienda Regionale per l'Innovazione e gli Acquisti S.p.A. (di seguito ARIA S.p.A.) nasce nel 2019 dalla fusione di tre società in-house di Regione Lombardia: la società di servizi digitali Lombardia Informatica LISPA, la centrale acquisti regionale ARCA, e la società per i lavori pubblici Infrastrutture Lombarde ILSPA che è stata incorporata nel 2020 </w:t>
      </w:r>
      <w:r w:rsidRPr="00A74906">
        <w:rPr>
          <w:rFonts w:ascii="Titillium Web" w:eastAsia="Times New Roman" w:hAnsi="Titillium Web" w:cs="Times New Roman"/>
          <w:color w:val="333333"/>
          <w:sz w:val="20"/>
          <w:szCs w:val="20"/>
          <w:lang w:eastAsia="it-IT"/>
        </w:rPr>
        <w:lastRenderedPageBreak/>
        <w:t xml:space="preserve">all'interno della nuova azienda. Nel luglio 2022, ARIA ha incorporato al suo interno </w:t>
      </w:r>
      <w:proofErr w:type="spellStart"/>
      <w:r w:rsidRPr="00A74906">
        <w:rPr>
          <w:rFonts w:ascii="Titillium Web" w:eastAsia="Times New Roman" w:hAnsi="Titillium Web" w:cs="Times New Roman"/>
          <w:color w:val="333333"/>
          <w:sz w:val="20"/>
          <w:szCs w:val="20"/>
          <w:lang w:eastAsia="it-IT"/>
        </w:rPr>
        <w:t>Explora</w:t>
      </w:r>
      <w:proofErr w:type="spellEnd"/>
      <w:r w:rsidRPr="00A74906">
        <w:rPr>
          <w:rFonts w:ascii="Titillium Web" w:eastAsia="Times New Roman" w:hAnsi="Titillium Web" w:cs="Times New Roman"/>
          <w:color w:val="333333"/>
          <w:sz w:val="20"/>
          <w:szCs w:val="20"/>
          <w:lang w:eastAsia="it-IT"/>
        </w:rPr>
        <w:t xml:space="preserve"> S.p.A., società di Regione Lombardia impegnata nella promozione dell’offerta turistica del territorio lombardo</w:t>
      </w:r>
    </w:p>
    <w:p w14:paraId="3F2BC08D" w14:textId="66100654" w:rsidR="00B303AB" w:rsidRPr="00A74906" w:rsidRDefault="00B303AB" w:rsidP="00BF3C33">
      <w:pPr>
        <w:spacing w:after="0" w:line="360" w:lineRule="auto"/>
        <w:contextualSpacing/>
        <w:jc w:val="center"/>
        <w:rPr>
          <w:rFonts w:ascii="Titillium Web" w:eastAsia="Times New Roman" w:hAnsi="Titillium Web" w:cs="Times New Roman"/>
          <w:color w:val="333333"/>
          <w:sz w:val="20"/>
          <w:szCs w:val="20"/>
          <w:lang w:eastAsia="it-IT"/>
        </w:rPr>
      </w:pPr>
      <w:r>
        <w:rPr>
          <w:rFonts w:ascii="Titillium Web" w:eastAsia="Times New Roman" w:hAnsi="Titillium Web" w:cs="Times New Roman"/>
          <w:color w:val="333333"/>
          <w:sz w:val="20"/>
          <w:szCs w:val="20"/>
          <w:lang w:eastAsia="it-IT"/>
        </w:rPr>
        <w:t>********</w:t>
      </w:r>
    </w:p>
    <w:p w14:paraId="3BCFB4E2" w14:textId="1A65A3F9" w:rsidR="00B83C6D" w:rsidRDefault="00AB5344" w:rsidP="00BF3C33">
      <w:pPr>
        <w:spacing w:after="0" w:line="360" w:lineRule="auto"/>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 xml:space="preserve">In </w:t>
      </w:r>
      <w:r w:rsidR="00B83C6D" w:rsidRPr="00A74906">
        <w:rPr>
          <w:rFonts w:ascii="Titillium Web" w:eastAsia="Times New Roman" w:hAnsi="Titillium Web" w:cs="Times New Roman"/>
          <w:color w:val="333333"/>
          <w:sz w:val="20"/>
          <w:szCs w:val="20"/>
          <w:lang w:eastAsia="it-IT"/>
        </w:rPr>
        <w:t xml:space="preserve">ottemperanza a quanto disposto </w:t>
      </w:r>
      <w:r w:rsidR="00B303AB">
        <w:rPr>
          <w:rFonts w:ascii="Titillium Web" w:eastAsia="Times New Roman" w:hAnsi="Titillium Web" w:cs="Times New Roman"/>
          <w:color w:val="333333"/>
          <w:sz w:val="20"/>
          <w:szCs w:val="20"/>
          <w:lang w:eastAsia="it-IT"/>
        </w:rPr>
        <w:t>dal</w:t>
      </w:r>
      <w:r w:rsidR="00B83C6D" w:rsidRPr="00A74906">
        <w:rPr>
          <w:rFonts w:ascii="Titillium Web" w:eastAsia="Times New Roman" w:hAnsi="Titillium Web" w:cs="Times New Roman"/>
          <w:color w:val="333333"/>
          <w:sz w:val="20"/>
          <w:szCs w:val="20"/>
          <w:lang w:eastAsia="it-IT"/>
        </w:rPr>
        <w:t>l’art. 6 comma 1 della Legge n. 120/20</w:t>
      </w:r>
      <w:r w:rsidR="008023BB" w:rsidRPr="00A74906">
        <w:rPr>
          <w:rFonts w:ascii="Titillium Web" w:eastAsia="Times New Roman" w:hAnsi="Titillium Web" w:cs="Times New Roman"/>
          <w:color w:val="333333"/>
          <w:sz w:val="20"/>
          <w:szCs w:val="20"/>
          <w:lang w:eastAsia="it-IT"/>
        </w:rPr>
        <w:t xml:space="preserve">, </w:t>
      </w:r>
      <w:r w:rsidR="00B83C6D" w:rsidRPr="00A74906">
        <w:rPr>
          <w:rFonts w:ascii="Titillium Web" w:eastAsia="Times New Roman" w:hAnsi="Titillium Web" w:cs="Times New Roman"/>
          <w:color w:val="333333"/>
          <w:sz w:val="20"/>
          <w:szCs w:val="20"/>
          <w:lang w:eastAsia="it-IT"/>
        </w:rPr>
        <w:t xml:space="preserve">che ha introdotto in via </w:t>
      </w:r>
      <w:r w:rsidR="00B83C6D" w:rsidRPr="00954E65">
        <w:rPr>
          <w:rFonts w:ascii="Titillium Web" w:eastAsia="Times New Roman" w:hAnsi="Titillium Web" w:cs="Times New Roman"/>
          <w:color w:val="333333"/>
          <w:sz w:val="20"/>
          <w:szCs w:val="20"/>
          <w:lang w:eastAsia="it-IT"/>
        </w:rPr>
        <w:t>temporanea</w:t>
      </w:r>
      <w:r w:rsidR="00BF3C33" w:rsidRPr="00954E65">
        <w:rPr>
          <w:rFonts w:ascii="Titillium Web" w:eastAsia="Times New Roman" w:hAnsi="Titillium Web" w:cs="Times New Roman"/>
          <w:color w:val="333333"/>
          <w:sz w:val="20"/>
          <w:szCs w:val="20"/>
          <w:lang w:eastAsia="it-IT"/>
        </w:rPr>
        <w:t xml:space="preserve"> il Collegio Consultivo Tecnico</w:t>
      </w:r>
      <w:r w:rsidR="00B83C6D" w:rsidRPr="00954E65">
        <w:rPr>
          <w:rFonts w:ascii="Titillium Web" w:eastAsia="Times New Roman" w:hAnsi="Titillium Web" w:cs="Times New Roman"/>
          <w:color w:val="333333"/>
          <w:sz w:val="20"/>
          <w:szCs w:val="20"/>
          <w:lang w:eastAsia="it-IT"/>
        </w:rPr>
        <w:t>, fino al 30 giugno 2023, per i lavori diretti alla realizzazione delle opere pubbli</w:t>
      </w:r>
      <w:r w:rsidR="00B83C6D" w:rsidRPr="00A74906">
        <w:rPr>
          <w:rFonts w:ascii="Titillium Web" w:eastAsia="Times New Roman" w:hAnsi="Titillium Web" w:cs="Times New Roman"/>
          <w:color w:val="333333"/>
          <w:sz w:val="20"/>
          <w:szCs w:val="20"/>
          <w:lang w:eastAsia="it-IT"/>
        </w:rPr>
        <w:t xml:space="preserve">che di importo pari o superiore alle soglie di cui all’articolo 35 del decreto legislativo 18 aprile 2016 n. 50, ARIA  intende </w:t>
      </w:r>
      <w:bookmarkStart w:id="0" w:name="_Hlk116308162"/>
      <w:r w:rsidR="00B83C6D" w:rsidRPr="00A74906">
        <w:rPr>
          <w:rFonts w:ascii="Titillium Web" w:eastAsia="Times New Roman" w:hAnsi="Titillium Web" w:cs="Times New Roman"/>
          <w:color w:val="333333"/>
          <w:sz w:val="20"/>
          <w:szCs w:val="20"/>
          <w:lang w:eastAsia="it-IT"/>
        </w:rPr>
        <w:t xml:space="preserve">costituire </w:t>
      </w:r>
      <w:r w:rsidR="00161EB0" w:rsidRPr="00A74906">
        <w:rPr>
          <w:rFonts w:ascii="Titillium Web" w:eastAsia="Times New Roman" w:hAnsi="Titillium Web" w:cs="Times New Roman"/>
          <w:color w:val="333333"/>
          <w:sz w:val="20"/>
          <w:szCs w:val="20"/>
          <w:lang w:eastAsia="it-IT"/>
        </w:rPr>
        <w:t xml:space="preserve">un </w:t>
      </w:r>
      <w:r w:rsidR="00916F9B" w:rsidRPr="00A74906">
        <w:rPr>
          <w:rFonts w:ascii="Titillium Web" w:eastAsia="Times New Roman" w:hAnsi="Titillium Web" w:cs="Times New Roman"/>
          <w:color w:val="333333"/>
          <w:sz w:val="20"/>
          <w:szCs w:val="20"/>
          <w:lang w:eastAsia="it-IT"/>
        </w:rPr>
        <w:t xml:space="preserve">elenco di soggetti aventi i requisiti di esperienza e qualificazione professionale previsti dalla norma al fine di individuare i componenti del </w:t>
      </w:r>
      <w:r w:rsidR="00B83C6D" w:rsidRPr="00A74906">
        <w:rPr>
          <w:rFonts w:ascii="Titillium Web" w:eastAsia="Times New Roman" w:hAnsi="Titillium Web" w:cs="Times New Roman"/>
          <w:color w:val="333333"/>
          <w:sz w:val="20"/>
          <w:szCs w:val="20"/>
          <w:lang w:eastAsia="it-IT"/>
        </w:rPr>
        <w:t xml:space="preserve">collegio consultivo tecnico </w:t>
      </w:r>
      <w:bookmarkEnd w:id="0"/>
      <w:r w:rsidR="00B83C6D" w:rsidRPr="00A74906">
        <w:rPr>
          <w:rFonts w:ascii="Titillium Web" w:eastAsia="Times New Roman" w:hAnsi="Titillium Web" w:cs="Times New Roman"/>
          <w:color w:val="333333"/>
          <w:sz w:val="20"/>
          <w:szCs w:val="20"/>
          <w:lang w:eastAsia="it-IT"/>
        </w:rPr>
        <w:t>( di seguito anche Collegio</w:t>
      </w:r>
      <w:r w:rsidR="00B303AB">
        <w:rPr>
          <w:rFonts w:ascii="Titillium Web" w:eastAsia="Times New Roman" w:hAnsi="Titillium Web" w:cs="Times New Roman"/>
          <w:color w:val="333333"/>
          <w:sz w:val="20"/>
          <w:szCs w:val="20"/>
          <w:lang w:eastAsia="it-IT"/>
        </w:rPr>
        <w:t xml:space="preserve"> o CCT</w:t>
      </w:r>
      <w:r w:rsidR="00B83C6D" w:rsidRPr="00A74906">
        <w:rPr>
          <w:rFonts w:ascii="Titillium Web" w:eastAsia="Times New Roman" w:hAnsi="Titillium Web" w:cs="Times New Roman"/>
          <w:color w:val="333333"/>
          <w:sz w:val="20"/>
          <w:szCs w:val="20"/>
          <w:lang w:eastAsia="it-IT"/>
        </w:rPr>
        <w:t>) con i compiti previsti dall’articolo 5 della Legge e con funzioni di assistenza per la rapida risoluzione delle controversie o delle dispute tecniche di ogni natura suscettibili di insorgere nel corso dell'esecuzione del contratto stesso.</w:t>
      </w:r>
    </w:p>
    <w:p w14:paraId="32F0EDFD" w14:textId="5C1296B6" w:rsidR="003B5999" w:rsidRDefault="003B5999" w:rsidP="00BF3C33">
      <w:pPr>
        <w:spacing w:after="0" w:line="360" w:lineRule="auto"/>
        <w:contextualSpacing/>
        <w:jc w:val="both"/>
        <w:rPr>
          <w:rFonts w:ascii="Titillium Web" w:eastAsia="Times New Roman" w:hAnsi="Titillium Web" w:cs="Times New Roman"/>
          <w:color w:val="333333"/>
          <w:sz w:val="20"/>
          <w:szCs w:val="20"/>
          <w:lang w:eastAsia="it-IT"/>
        </w:rPr>
      </w:pPr>
    </w:p>
    <w:p w14:paraId="18CF0B01" w14:textId="50499C3C" w:rsidR="008023BB" w:rsidRPr="002213F2" w:rsidRDefault="003B5999" w:rsidP="00BF3C33">
      <w:pPr>
        <w:spacing w:after="0" w:line="360" w:lineRule="auto"/>
        <w:contextualSpacing/>
        <w:jc w:val="both"/>
        <w:rPr>
          <w:rFonts w:ascii="Titillium Web" w:eastAsia="Times New Roman" w:hAnsi="Titillium Web" w:cs="Times New Roman"/>
          <w:color w:val="333333"/>
          <w:sz w:val="20"/>
          <w:szCs w:val="20"/>
          <w:lang w:eastAsia="it-IT"/>
        </w:rPr>
      </w:pPr>
      <w:r w:rsidRPr="002213F2">
        <w:rPr>
          <w:rFonts w:ascii="Titillium Web" w:eastAsia="Times New Roman" w:hAnsi="Titillium Web" w:cs="Times New Roman"/>
          <w:color w:val="333333"/>
          <w:sz w:val="20"/>
          <w:szCs w:val="20"/>
          <w:lang w:eastAsia="it-IT"/>
        </w:rPr>
        <w:t>A scopo meramente illustrativo</w:t>
      </w:r>
      <w:r w:rsidR="00513E6C" w:rsidRPr="002213F2">
        <w:rPr>
          <w:rFonts w:ascii="Titillium Web" w:eastAsia="Times New Roman" w:hAnsi="Titillium Web" w:cs="Times New Roman"/>
          <w:color w:val="333333"/>
          <w:sz w:val="20"/>
          <w:szCs w:val="20"/>
          <w:lang w:eastAsia="it-IT"/>
        </w:rPr>
        <w:t xml:space="preserve"> </w:t>
      </w:r>
      <w:r w:rsidRPr="002213F2">
        <w:rPr>
          <w:rFonts w:ascii="Titillium Web" w:eastAsia="Times New Roman" w:hAnsi="Titillium Web" w:cs="Times New Roman"/>
          <w:color w:val="333333"/>
          <w:sz w:val="20"/>
          <w:szCs w:val="20"/>
          <w:lang w:eastAsia="it-IT"/>
        </w:rPr>
        <w:t xml:space="preserve">si correda il presente Avviso di schede tecniche afferenti </w:t>
      </w:r>
      <w:r w:rsidR="00513E6C" w:rsidRPr="002213F2">
        <w:rPr>
          <w:rFonts w:ascii="Titillium Web" w:eastAsia="Times New Roman" w:hAnsi="Titillium Web" w:cs="Times New Roman"/>
          <w:color w:val="333333"/>
          <w:sz w:val="20"/>
          <w:szCs w:val="20"/>
          <w:lang w:eastAsia="it-IT"/>
        </w:rPr>
        <w:t xml:space="preserve">alcune delle </w:t>
      </w:r>
      <w:r w:rsidRPr="002213F2">
        <w:rPr>
          <w:rFonts w:ascii="Titillium Web" w:eastAsia="Times New Roman" w:hAnsi="Titillium Web" w:cs="Times New Roman"/>
          <w:color w:val="333333"/>
          <w:sz w:val="20"/>
          <w:szCs w:val="20"/>
          <w:lang w:eastAsia="it-IT"/>
        </w:rPr>
        <w:t xml:space="preserve">Opere in riferimento alle quali </w:t>
      </w:r>
      <w:r w:rsidR="00782879" w:rsidRPr="002213F2">
        <w:rPr>
          <w:rFonts w:ascii="Titillium Web" w:eastAsia="Times New Roman" w:hAnsi="Titillium Web" w:cs="Times New Roman"/>
          <w:color w:val="333333"/>
          <w:sz w:val="20"/>
          <w:szCs w:val="20"/>
          <w:lang w:eastAsia="it-IT"/>
        </w:rPr>
        <w:t>saranno</w:t>
      </w:r>
      <w:r w:rsidR="007956CD" w:rsidRPr="002213F2">
        <w:rPr>
          <w:rFonts w:ascii="Titillium Web" w:eastAsia="Times New Roman" w:hAnsi="Titillium Web" w:cs="Times New Roman"/>
          <w:color w:val="333333"/>
          <w:sz w:val="20"/>
          <w:szCs w:val="20"/>
          <w:lang w:eastAsia="it-IT"/>
        </w:rPr>
        <w:t xml:space="preserve"> prese in </w:t>
      </w:r>
      <w:r w:rsidRPr="002213F2">
        <w:rPr>
          <w:rFonts w:ascii="Titillium Web" w:eastAsia="Times New Roman" w:hAnsi="Titillium Web" w:cs="Times New Roman"/>
          <w:color w:val="333333"/>
          <w:sz w:val="20"/>
          <w:szCs w:val="20"/>
          <w:lang w:eastAsia="it-IT"/>
        </w:rPr>
        <w:t xml:space="preserve"> considerazione le domande </w:t>
      </w:r>
      <w:r w:rsidR="00506D34" w:rsidRPr="002213F2">
        <w:rPr>
          <w:rFonts w:ascii="Titillium Web" w:eastAsia="Times New Roman" w:hAnsi="Titillium Web" w:cs="Times New Roman"/>
          <w:color w:val="333333"/>
          <w:sz w:val="20"/>
          <w:szCs w:val="20"/>
          <w:lang w:eastAsia="it-IT"/>
        </w:rPr>
        <w:t>di iscrizione all’</w:t>
      </w:r>
      <w:r w:rsidR="007A6AD7" w:rsidRPr="002213F2">
        <w:rPr>
          <w:rFonts w:ascii="Titillium Web" w:eastAsia="Times New Roman" w:hAnsi="Titillium Web" w:cs="Times New Roman"/>
          <w:color w:val="333333"/>
          <w:sz w:val="20"/>
          <w:szCs w:val="20"/>
          <w:lang w:eastAsia="it-IT"/>
        </w:rPr>
        <w:t>Elenco CCT</w:t>
      </w:r>
      <w:r w:rsidR="00506D34" w:rsidRPr="002213F2">
        <w:rPr>
          <w:rFonts w:ascii="Titillium Web" w:eastAsia="Times New Roman" w:hAnsi="Titillium Web" w:cs="Times New Roman"/>
          <w:color w:val="333333"/>
          <w:sz w:val="20"/>
          <w:szCs w:val="20"/>
          <w:lang w:eastAsia="it-IT"/>
        </w:rPr>
        <w:t>.</w:t>
      </w:r>
    </w:p>
    <w:p w14:paraId="59E5E3B4" w14:textId="77777777" w:rsidR="008023BB" w:rsidRPr="00A74906" w:rsidRDefault="008023BB" w:rsidP="00BF3C33">
      <w:pPr>
        <w:widowControl w:val="0"/>
        <w:spacing w:after="0" w:line="360" w:lineRule="auto"/>
        <w:contextualSpacing/>
        <w:jc w:val="both"/>
        <w:rPr>
          <w:rFonts w:ascii="Titillium Web" w:hAnsi="Titillium Web"/>
          <w:sz w:val="20"/>
          <w:szCs w:val="20"/>
        </w:rPr>
      </w:pPr>
    </w:p>
    <w:p w14:paraId="7D7A1F4E" w14:textId="2BE5E5A7" w:rsidR="008023BB" w:rsidRPr="00A74906" w:rsidRDefault="008023BB" w:rsidP="00BF3C33">
      <w:pPr>
        <w:pBdr>
          <w:top w:val="single" w:sz="4" w:space="1" w:color="auto"/>
          <w:left w:val="single" w:sz="4" w:space="4" w:color="auto"/>
          <w:bottom w:val="single" w:sz="4" w:space="1" w:color="auto"/>
          <w:right w:val="single" w:sz="4" w:space="4" w:color="auto"/>
        </w:pBdr>
        <w:shd w:val="clear" w:color="auto" w:fill="2F5496" w:themeFill="accent1" w:themeFillShade="BF"/>
        <w:spacing w:after="0" w:line="360" w:lineRule="auto"/>
        <w:contextualSpacing/>
        <w:jc w:val="both"/>
        <w:rPr>
          <w:rFonts w:ascii="Titillium Web" w:eastAsia="Times New Roman" w:hAnsi="Titillium Web" w:cs="Times New Roman"/>
          <w:b/>
          <w:bCs/>
          <w:color w:val="FFFFFF" w:themeColor="background1"/>
          <w:sz w:val="20"/>
          <w:szCs w:val="20"/>
          <w:lang w:eastAsia="it-IT"/>
        </w:rPr>
      </w:pPr>
      <w:r w:rsidRPr="00A74906">
        <w:rPr>
          <w:rFonts w:ascii="Titillium Web" w:eastAsia="Times New Roman" w:hAnsi="Titillium Web" w:cs="Times New Roman"/>
          <w:b/>
          <w:bCs/>
          <w:color w:val="FFFFFF" w:themeColor="background1"/>
          <w:sz w:val="20"/>
          <w:szCs w:val="20"/>
          <w:lang w:eastAsia="it-IT"/>
        </w:rPr>
        <w:t>DI COSA SI TRATTA</w:t>
      </w:r>
    </w:p>
    <w:p w14:paraId="6223B798" w14:textId="3FABF8FF" w:rsidR="00A74906" w:rsidRPr="00A74906" w:rsidRDefault="00A74906" w:rsidP="00BF3C33">
      <w:pPr>
        <w:spacing w:after="0" w:line="360" w:lineRule="auto"/>
        <w:contextualSpacing/>
        <w:jc w:val="both"/>
        <w:rPr>
          <w:rFonts w:ascii="Titillium Web" w:eastAsia="Times New Roman" w:hAnsi="Titillium Web" w:cs="Times New Roman"/>
          <w:b/>
          <w:bCs/>
          <w:color w:val="333333"/>
          <w:sz w:val="20"/>
          <w:szCs w:val="20"/>
          <w:lang w:eastAsia="it-IT"/>
        </w:rPr>
      </w:pPr>
      <w:r w:rsidRPr="00A74906">
        <w:rPr>
          <w:rFonts w:ascii="Titillium Web" w:eastAsia="Times New Roman" w:hAnsi="Titillium Web" w:cs="Times New Roman"/>
          <w:b/>
          <w:bCs/>
          <w:color w:val="333333"/>
          <w:sz w:val="20"/>
          <w:szCs w:val="20"/>
          <w:lang w:eastAsia="it-IT"/>
        </w:rPr>
        <w:t xml:space="preserve">ARIASPA intende costituire un ELENCO di soggetti idonei </w:t>
      </w:r>
      <w:r w:rsidR="009A129C">
        <w:rPr>
          <w:rFonts w:ascii="Titillium Web" w:eastAsia="Times New Roman" w:hAnsi="Titillium Web" w:cs="Times New Roman"/>
          <w:b/>
          <w:bCs/>
          <w:color w:val="333333"/>
          <w:sz w:val="20"/>
          <w:szCs w:val="20"/>
          <w:lang w:eastAsia="it-IT"/>
        </w:rPr>
        <w:t xml:space="preserve">alla nomina di </w:t>
      </w:r>
      <w:r w:rsidRPr="00A74906">
        <w:rPr>
          <w:rFonts w:ascii="Titillium Web" w:eastAsia="Times New Roman" w:hAnsi="Titillium Web" w:cs="Times New Roman"/>
          <w:b/>
          <w:bCs/>
          <w:color w:val="333333"/>
          <w:sz w:val="20"/>
          <w:szCs w:val="20"/>
          <w:lang w:eastAsia="it-IT"/>
        </w:rPr>
        <w:t xml:space="preserve">componenti di parte del Collegio Consultivo tecnico ex art. 6 legge 11 settembre 2020 n. 120 e ss.mm.ii. (di seguito “ELENCO CCT”), </w:t>
      </w:r>
      <w:r w:rsidR="009A129C">
        <w:rPr>
          <w:rFonts w:ascii="Titillium Web" w:eastAsia="Times New Roman" w:hAnsi="Titillium Web" w:cs="Times New Roman"/>
          <w:b/>
          <w:bCs/>
          <w:color w:val="333333"/>
          <w:sz w:val="20"/>
          <w:szCs w:val="20"/>
          <w:lang w:eastAsia="it-IT"/>
        </w:rPr>
        <w:t>considerato</w:t>
      </w:r>
      <w:r w:rsidR="009A129C" w:rsidRPr="00A74906">
        <w:rPr>
          <w:rFonts w:ascii="Titillium Web" w:eastAsia="Times New Roman" w:hAnsi="Titillium Web" w:cs="Times New Roman"/>
          <w:b/>
          <w:bCs/>
          <w:color w:val="333333"/>
          <w:sz w:val="20"/>
          <w:szCs w:val="20"/>
          <w:lang w:eastAsia="it-IT"/>
        </w:rPr>
        <w:t xml:space="preserve"> </w:t>
      </w:r>
      <w:r w:rsidRPr="00A74906">
        <w:rPr>
          <w:rFonts w:ascii="Titillium Web" w:eastAsia="Times New Roman" w:hAnsi="Titillium Web" w:cs="Times New Roman"/>
          <w:b/>
          <w:bCs/>
          <w:color w:val="333333"/>
          <w:sz w:val="20"/>
          <w:szCs w:val="20"/>
          <w:lang w:eastAsia="it-IT"/>
        </w:rPr>
        <w:t>che</w:t>
      </w:r>
      <w:r w:rsidR="009A129C">
        <w:rPr>
          <w:rFonts w:ascii="Titillium Web" w:eastAsia="Times New Roman" w:hAnsi="Titillium Web" w:cs="Times New Roman"/>
          <w:b/>
          <w:bCs/>
          <w:color w:val="333333"/>
          <w:sz w:val="20"/>
          <w:szCs w:val="20"/>
          <w:lang w:eastAsia="it-IT"/>
        </w:rPr>
        <w:t>:</w:t>
      </w:r>
    </w:p>
    <w:p w14:paraId="3B2765B3" w14:textId="4789A9CF" w:rsidR="00E32210" w:rsidRPr="00A74906" w:rsidRDefault="00E32210" w:rsidP="00BF3C33">
      <w:pPr>
        <w:numPr>
          <w:ilvl w:val="0"/>
          <w:numId w:val="10"/>
        </w:numPr>
        <w:spacing w:after="0" w:line="360" w:lineRule="auto"/>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 xml:space="preserve">l’art. 6 comma 1 della Legge n. 120/20 ha introdotto in via temporanea, fino al 30 giugno 2023, per i lavori diretti alla realizzazione delle opere pubbliche di importo pari o superiore alle soglie di cui all’articolo 35 del decreto legislativo 18 aprile 2016 n. 50, l’obbligo per le  stazioni appaltanti di costituire un collegio consultivo tecnico ( di seguito anche Collegio) con i compiti previsti dall’articolo 5 della Legge e con funzioni di assistenza per la rapida risoluzione delle controversie o delle dispute tecniche di ogni natura suscettibili di insorgere nel corso dell'esecuzione del contratto stesso; </w:t>
      </w:r>
    </w:p>
    <w:p w14:paraId="717566C8" w14:textId="77777777" w:rsidR="00E32210" w:rsidRPr="00A74906" w:rsidRDefault="00E32210" w:rsidP="00BF3C33">
      <w:pPr>
        <w:numPr>
          <w:ilvl w:val="0"/>
          <w:numId w:val="10"/>
        </w:numPr>
        <w:spacing w:after="0" w:line="360" w:lineRule="auto"/>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 xml:space="preserve">In relazione alla composizione del Collegio l’art. 6 comma 1 della Legge n. 120/20 prevede che esso sia formato, a scelta della stazione appaltante, da tre componenti, o cinque in caso di motivata complessità dell’opera e di eterogeneità delle professionalità richieste, dotati di esperienza e qualificazione professionale adeguata alla tipologia dell'opera, selezionati tra ingegneri, architetti, giuristi ed economisti con comprovata esperienza nel settore degli appalti e delle concessioni e degli investimenti pubblici, anche in relazione allo specifico oggetto del contratto e alla specifica conoscenza di metodi e strumenti elettronici quali quelli di </w:t>
      </w:r>
      <w:r w:rsidRPr="00A74906">
        <w:rPr>
          <w:rFonts w:ascii="Titillium Web" w:eastAsia="Times New Roman" w:hAnsi="Titillium Web" w:cs="Times New Roman"/>
          <w:color w:val="333333"/>
          <w:sz w:val="20"/>
          <w:szCs w:val="20"/>
          <w:lang w:eastAsia="it-IT"/>
        </w:rPr>
        <w:lastRenderedPageBreak/>
        <w:t xml:space="preserve">modellazione per l’edilizia e le infrastrutture (BIM), maturata per effetto del conseguimento di un dottorato di ricerca </w:t>
      </w:r>
      <w:r w:rsidRPr="00E56F10">
        <w:rPr>
          <w:rFonts w:ascii="Titillium Web" w:eastAsia="Times New Roman" w:hAnsi="Titillium Web" w:cs="Times New Roman"/>
          <w:i/>
          <w:iCs/>
          <w:color w:val="333333"/>
          <w:sz w:val="20"/>
          <w:szCs w:val="20"/>
          <w:lang w:eastAsia="it-IT"/>
        </w:rPr>
        <w:t>ovvero</w:t>
      </w:r>
      <w:r w:rsidRPr="00A74906">
        <w:rPr>
          <w:rFonts w:ascii="Titillium Web" w:eastAsia="Times New Roman" w:hAnsi="Titillium Web" w:cs="Times New Roman"/>
          <w:color w:val="333333"/>
          <w:sz w:val="20"/>
          <w:szCs w:val="20"/>
          <w:lang w:eastAsia="it-IT"/>
        </w:rPr>
        <w:t xml:space="preserve"> di una dimostrata pratica professionale di almeno dieci anni nel settore di riferimento. </w:t>
      </w:r>
    </w:p>
    <w:p w14:paraId="3FF4EFEE" w14:textId="77777777" w:rsidR="00E32210" w:rsidRPr="00A74906" w:rsidRDefault="00E32210" w:rsidP="00BF3C33">
      <w:pPr>
        <w:numPr>
          <w:ilvl w:val="0"/>
          <w:numId w:val="10"/>
        </w:numPr>
        <w:spacing w:after="0" w:line="360" w:lineRule="auto"/>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 xml:space="preserve">I componenti del Collegio possono essere scelti dalle parti di comune accordo, </w:t>
      </w:r>
      <w:r w:rsidRPr="00E56F10">
        <w:rPr>
          <w:rFonts w:ascii="Titillium Web" w:eastAsia="Times New Roman" w:hAnsi="Titillium Web" w:cs="Times New Roman"/>
          <w:i/>
          <w:iCs/>
          <w:color w:val="333333"/>
          <w:sz w:val="20"/>
          <w:szCs w:val="20"/>
          <w:lang w:eastAsia="it-IT"/>
        </w:rPr>
        <w:t>ovvero</w:t>
      </w:r>
      <w:r w:rsidRPr="00A74906">
        <w:rPr>
          <w:rFonts w:ascii="Titillium Web" w:eastAsia="Times New Roman" w:hAnsi="Titillium Web" w:cs="Times New Roman"/>
          <w:color w:val="333333"/>
          <w:sz w:val="20"/>
          <w:szCs w:val="20"/>
          <w:lang w:eastAsia="it-IT"/>
        </w:rPr>
        <w:t xml:space="preserve"> le parti possono concordare che ciascuna di esse nomini uno o due componenti (a seconda che il collegio sia costituito da 3 o da 5 membri). Il terzo (o il quinto componente), con funzioni di presidente, è designato dai componenti di nomina di parte;</w:t>
      </w:r>
    </w:p>
    <w:p w14:paraId="32A55F3E" w14:textId="77777777" w:rsidR="00E32210" w:rsidRPr="00A74906" w:rsidRDefault="00E32210" w:rsidP="00BF3C33">
      <w:pPr>
        <w:numPr>
          <w:ilvl w:val="0"/>
          <w:numId w:val="10"/>
        </w:numPr>
        <w:spacing w:after="0" w:line="360" w:lineRule="auto"/>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nel caso in cui i membri di parte non si accordino sulla nomina del presidente,  troverà applicazione la legge della Regione Lombardia 27 novembre 2020 n. 22: a mente dell’art. 16,  per le opere di interesse regionale o locale con importo dei lavori superiore a 20 milioni di euro, la designazione del Presidente spetterà alla Giunta regionale secondo le modalità indicate nella DGR n. XI/4420 del 17 marzo 2021,  mentre per le opere di interesse regionale o locale con importo dei lavori pari o inferiore a 20 milioni di euro la designazione del presidente del collegio è attribuita alla provincia territorialmente competente. Se l'opera ha estensione interprovinciale la competenza è attribuita alla provincia sul cui territorio l'opera presenta l'estensione territoriale prevalente. Nel caso di Opere di interesse della Città Metropolitana, resta ferma la competenza alle stesse attribuita dall’art. 6 della legge n. 120/2022;</w:t>
      </w:r>
    </w:p>
    <w:p w14:paraId="0D43A8F0" w14:textId="77777777" w:rsidR="00E32210" w:rsidRPr="00A74906" w:rsidRDefault="00E32210" w:rsidP="00BF3C33">
      <w:pPr>
        <w:numPr>
          <w:ilvl w:val="0"/>
          <w:numId w:val="10"/>
        </w:numPr>
        <w:spacing w:after="0" w:line="360" w:lineRule="auto"/>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l’art. 6 comma 7 della L. 120/20 dispone il diritto dei componenti del Collegio ad un compenso a carico delle parti, proporzionato al valore dell’opera, al numero, alla qualità e alla tempestività delle determinazioni assunte;</w:t>
      </w:r>
    </w:p>
    <w:p w14:paraId="09803E92" w14:textId="323179E9" w:rsidR="00EE229E" w:rsidRPr="007A6AD7" w:rsidRDefault="007A6AD7" w:rsidP="00BF3C33">
      <w:pPr>
        <w:numPr>
          <w:ilvl w:val="0"/>
          <w:numId w:val="10"/>
        </w:numPr>
        <w:spacing w:after="0" w:line="360" w:lineRule="auto"/>
        <w:contextualSpacing/>
        <w:jc w:val="both"/>
        <w:rPr>
          <w:rFonts w:ascii="Titillium Web" w:eastAsia="Times New Roman" w:hAnsi="Titillium Web" w:cs="Times New Roman"/>
          <w:color w:val="333333"/>
          <w:sz w:val="20"/>
          <w:szCs w:val="20"/>
          <w:lang w:eastAsia="it-IT"/>
        </w:rPr>
      </w:pPr>
      <w:r>
        <w:rPr>
          <w:rFonts w:ascii="Titillium Web" w:eastAsia="Times New Roman" w:hAnsi="Titillium Web" w:cs="Times New Roman"/>
          <w:color w:val="333333"/>
          <w:sz w:val="20"/>
          <w:szCs w:val="20"/>
          <w:lang w:eastAsia="it-IT"/>
        </w:rPr>
        <w:t>c</w:t>
      </w:r>
      <w:r w:rsidR="001818AF" w:rsidRPr="007A6AD7">
        <w:rPr>
          <w:rFonts w:ascii="Titillium Web" w:eastAsia="Times New Roman" w:hAnsi="Titillium Web" w:cs="Times New Roman"/>
          <w:color w:val="333333"/>
          <w:sz w:val="20"/>
          <w:szCs w:val="20"/>
          <w:lang w:eastAsia="it-IT"/>
        </w:rPr>
        <w:t xml:space="preserve">ome previsto nelle Linee Guida </w:t>
      </w:r>
      <w:r w:rsidR="00E67B11" w:rsidRPr="007A6AD7">
        <w:rPr>
          <w:rFonts w:ascii="Titillium Web" w:eastAsia="Times New Roman" w:hAnsi="Titillium Web" w:cs="Times New Roman"/>
          <w:color w:val="333333"/>
          <w:sz w:val="20"/>
          <w:szCs w:val="20"/>
          <w:lang w:eastAsia="it-IT"/>
        </w:rPr>
        <w:t xml:space="preserve">del Ministero delle Infrastrutture e della Mobilità </w:t>
      </w:r>
      <w:r w:rsidR="0025072F" w:rsidRPr="007A6AD7">
        <w:rPr>
          <w:rFonts w:ascii="Titillium Web" w:eastAsia="Times New Roman" w:hAnsi="Titillium Web" w:cs="Times New Roman"/>
          <w:color w:val="333333"/>
          <w:sz w:val="20"/>
          <w:szCs w:val="20"/>
          <w:lang w:eastAsia="it-IT"/>
        </w:rPr>
        <w:t>S</w:t>
      </w:r>
      <w:r w:rsidR="00E67B11" w:rsidRPr="007A6AD7">
        <w:rPr>
          <w:rFonts w:ascii="Titillium Web" w:eastAsia="Times New Roman" w:hAnsi="Titillium Web" w:cs="Times New Roman"/>
          <w:color w:val="333333"/>
          <w:sz w:val="20"/>
          <w:szCs w:val="20"/>
          <w:lang w:eastAsia="it-IT"/>
        </w:rPr>
        <w:t>ostenibili</w:t>
      </w:r>
      <w:r w:rsidR="0025072F" w:rsidRPr="007A6AD7">
        <w:rPr>
          <w:rFonts w:ascii="Titillium Web" w:eastAsia="Times New Roman" w:hAnsi="Titillium Web" w:cs="Times New Roman"/>
          <w:color w:val="333333"/>
          <w:sz w:val="20"/>
          <w:szCs w:val="20"/>
          <w:lang w:eastAsia="it-IT"/>
        </w:rPr>
        <w:t xml:space="preserve">  - pubblicate  sulla Gazzetta Ufficiale della Repubblica Italiana il  7 marzo 2022 </w:t>
      </w:r>
      <w:r w:rsidR="00CE5CC4" w:rsidRPr="007A6AD7">
        <w:rPr>
          <w:rFonts w:ascii="Titillium Web" w:eastAsia="Times New Roman" w:hAnsi="Titillium Web" w:cs="Times New Roman"/>
          <w:color w:val="333333"/>
          <w:sz w:val="20"/>
          <w:szCs w:val="20"/>
          <w:lang w:eastAsia="it-IT"/>
        </w:rPr>
        <w:t xml:space="preserve"> - </w:t>
      </w:r>
      <w:r w:rsidR="0025072F" w:rsidRPr="007A6AD7">
        <w:rPr>
          <w:rFonts w:ascii="Titillium Web" w:eastAsia="Times New Roman" w:hAnsi="Titillium Web" w:cs="Times New Roman"/>
          <w:color w:val="333333"/>
          <w:sz w:val="20"/>
          <w:szCs w:val="20"/>
          <w:lang w:eastAsia="it-IT"/>
        </w:rPr>
        <w:t xml:space="preserve">il compenso </w:t>
      </w:r>
      <w:r w:rsidR="00EE229E" w:rsidRPr="007A6AD7">
        <w:rPr>
          <w:rFonts w:ascii="Titillium Web" w:eastAsia="Times New Roman" w:hAnsi="Titillium Web" w:cs="Times New Roman"/>
          <w:color w:val="333333"/>
          <w:sz w:val="20"/>
          <w:szCs w:val="20"/>
          <w:lang w:eastAsia="it-IT"/>
        </w:rPr>
        <w:t xml:space="preserve">spettante a ciascun membro del </w:t>
      </w:r>
      <w:r w:rsidR="00EE229E" w:rsidRPr="007A6AD7">
        <w:rPr>
          <w:rFonts w:ascii="Titillium Web" w:eastAsia="Times New Roman" w:hAnsi="Titillium Web" w:cs="Times New Roman"/>
          <w:b/>
          <w:bCs/>
          <w:color w:val="333333"/>
          <w:sz w:val="20"/>
          <w:szCs w:val="20"/>
          <w:lang w:eastAsia="it-IT"/>
        </w:rPr>
        <w:t>Collegio</w:t>
      </w:r>
      <w:r w:rsidR="00EE229E" w:rsidRPr="007A6AD7">
        <w:rPr>
          <w:rFonts w:ascii="Titillium Web" w:eastAsia="Times New Roman" w:hAnsi="Titillium Web" w:cs="Times New Roman"/>
          <w:color w:val="333333"/>
          <w:sz w:val="20"/>
          <w:szCs w:val="20"/>
          <w:lang w:eastAsia="it-IT"/>
        </w:rPr>
        <w:t xml:space="preserve"> </w:t>
      </w:r>
      <w:r w:rsidR="0025072F" w:rsidRPr="007A6AD7">
        <w:rPr>
          <w:rFonts w:ascii="Titillium Web" w:eastAsia="Times New Roman" w:hAnsi="Titillium Web" w:cs="Times New Roman"/>
          <w:color w:val="333333"/>
          <w:sz w:val="20"/>
          <w:szCs w:val="20"/>
          <w:lang w:eastAsia="it-IT"/>
        </w:rPr>
        <w:t xml:space="preserve">si compone di una </w:t>
      </w:r>
      <w:r w:rsidR="007956CD" w:rsidRPr="007A6AD7">
        <w:rPr>
          <w:rFonts w:ascii="Titillium Web" w:eastAsia="Times New Roman" w:hAnsi="Titillium Web" w:cs="Times New Roman"/>
          <w:b/>
          <w:bCs/>
          <w:color w:val="333333"/>
          <w:sz w:val="20"/>
          <w:szCs w:val="20"/>
          <w:lang w:eastAsia="it-IT"/>
        </w:rPr>
        <w:t>p</w:t>
      </w:r>
      <w:r w:rsidR="0025072F" w:rsidRPr="007A6AD7">
        <w:rPr>
          <w:rFonts w:ascii="Titillium Web" w:eastAsia="Times New Roman" w:hAnsi="Titillium Web" w:cs="Times New Roman"/>
          <w:b/>
          <w:bCs/>
          <w:color w:val="333333"/>
          <w:sz w:val="20"/>
          <w:szCs w:val="20"/>
          <w:lang w:eastAsia="it-IT"/>
        </w:rPr>
        <w:t>arte fissa</w:t>
      </w:r>
      <w:r w:rsidR="0025072F" w:rsidRPr="007A6AD7">
        <w:rPr>
          <w:rFonts w:ascii="Titillium Web" w:eastAsia="Times New Roman" w:hAnsi="Titillium Web" w:cs="Times New Roman"/>
          <w:color w:val="333333"/>
          <w:sz w:val="20"/>
          <w:szCs w:val="20"/>
          <w:lang w:eastAsia="it-IT"/>
        </w:rPr>
        <w:t xml:space="preserve"> e di una </w:t>
      </w:r>
      <w:r w:rsidR="0025072F" w:rsidRPr="007A6AD7">
        <w:rPr>
          <w:rFonts w:ascii="Titillium Web" w:eastAsia="Times New Roman" w:hAnsi="Titillium Web" w:cs="Times New Roman"/>
          <w:b/>
          <w:bCs/>
          <w:color w:val="333333"/>
          <w:sz w:val="20"/>
          <w:szCs w:val="20"/>
          <w:lang w:eastAsia="it-IT"/>
        </w:rPr>
        <w:t>parte variabile</w:t>
      </w:r>
      <w:r w:rsidR="00B66D06" w:rsidRPr="007A6AD7">
        <w:rPr>
          <w:rFonts w:ascii="Titillium Web" w:eastAsia="Times New Roman" w:hAnsi="Titillium Web" w:cs="Times New Roman"/>
          <w:color w:val="333333"/>
          <w:sz w:val="20"/>
          <w:szCs w:val="20"/>
          <w:lang w:eastAsia="it-IT"/>
        </w:rPr>
        <w:t>;</w:t>
      </w:r>
    </w:p>
    <w:p w14:paraId="66B1FCF6" w14:textId="45ED1C2E" w:rsidR="00B277AD" w:rsidRPr="007A6AD7" w:rsidRDefault="007A6AD7" w:rsidP="00BF3C33">
      <w:pPr>
        <w:numPr>
          <w:ilvl w:val="0"/>
          <w:numId w:val="10"/>
        </w:numPr>
        <w:spacing w:after="0" w:line="360" w:lineRule="auto"/>
        <w:contextualSpacing/>
        <w:jc w:val="both"/>
        <w:rPr>
          <w:rFonts w:ascii="Arial" w:eastAsia="Calibri" w:hAnsi="Arial" w:cs="Arial"/>
        </w:rPr>
      </w:pPr>
      <w:r>
        <w:rPr>
          <w:rFonts w:ascii="Titillium Web" w:eastAsia="Times New Roman" w:hAnsi="Titillium Web" w:cs="Times New Roman"/>
          <w:color w:val="333333"/>
          <w:sz w:val="20"/>
          <w:szCs w:val="20"/>
          <w:lang w:eastAsia="it-IT"/>
        </w:rPr>
        <w:t>l</w:t>
      </w:r>
      <w:r w:rsidR="00EE229E" w:rsidRPr="007A6AD7">
        <w:rPr>
          <w:rFonts w:ascii="Titillium Web" w:eastAsia="Times New Roman" w:hAnsi="Titillium Web" w:cs="Times New Roman"/>
          <w:color w:val="333333"/>
          <w:sz w:val="20"/>
          <w:szCs w:val="20"/>
          <w:lang w:eastAsia="it-IT"/>
        </w:rPr>
        <w:t xml:space="preserve">a </w:t>
      </w:r>
      <w:r w:rsidR="00EE229E" w:rsidRPr="007A6AD7">
        <w:rPr>
          <w:rFonts w:ascii="Titillium Web" w:eastAsia="Times New Roman" w:hAnsi="Titillium Web" w:cs="Times New Roman"/>
          <w:b/>
          <w:bCs/>
          <w:color w:val="333333"/>
          <w:sz w:val="20"/>
          <w:szCs w:val="20"/>
          <w:lang w:eastAsia="it-IT"/>
        </w:rPr>
        <w:t>Parte Fissa</w:t>
      </w:r>
      <w:r w:rsidR="00EE229E" w:rsidRPr="007A6AD7">
        <w:rPr>
          <w:rFonts w:ascii="Titillium Web" w:eastAsia="Times New Roman" w:hAnsi="Titillium Web" w:cs="Times New Roman"/>
          <w:color w:val="333333"/>
          <w:sz w:val="20"/>
          <w:szCs w:val="20"/>
          <w:lang w:eastAsia="it-IT"/>
        </w:rPr>
        <w:t xml:space="preserve">  è  proporzionata al valore dell’opera, calcolata ai sensi degli articoli 3 e 4 del decreto del Ministero della giustizia17 giugno 2016 con riferimento alla prestazione di collaudo tecnico amministrativo, ridotta del 60%. </w:t>
      </w:r>
      <w:r w:rsidR="00B277AD" w:rsidRPr="007A6AD7">
        <w:rPr>
          <w:rFonts w:ascii="Titillium Web" w:eastAsia="Times New Roman" w:hAnsi="Titillium Web" w:cs="Times New Roman"/>
          <w:color w:val="333333"/>
          <w:sz w:val="20"/>
          <w:szCs w:val="20"/>
          <w:lang w:eastAsia="it-IT"/>
        </w:rPr>
        <w:t xml:space="preserve"> </w:t>
      </w:r>
      <w:r w:rsidR="00EE229E" w:rsidRPr="007A6AD7">
        <w:rPr>
          <w:rFonts w:ascii="Titillium Web" w:eastAsia="Times New Roman" w:hAnsi="Titillium Web" w:cs="Times New Roman"/>
          <w:color w:val="333333"/>
          <w:sz w:val="20"/>
          <w:szCs w:val="20"/>
          <w:lang w:eastAsia="it-IT"/>
        </w:rPr>
        <w:t xml:space="preserve">Per la parte eccedente il valore di euro 100.000.000 di lavori si applica la riduzione del 80%. </w:t>
      </w:r>
      <w:r w:rsidR="00B277AD" w:rsidRPr="007A6AD7">
        <w:rPr>
          <w:rFonts w:ascii="Titillium Web" w:eastAsia="Times New Roman" w:hAnsi="Titillium Web" w:cs="Times New Roman"/>
          <w:color w:val="333333"/>
          <w:sz w:val="20"/>
          <w:szCs w:val="20"/>
          <w:lang w:eastAsia="it-IT"/>
        </w:rPr>
        <w:t xml:space="preserve">La corresponsione di detta parte fissa è subordinata all’adozione di determinazioni o pareri </w:t>
      </w:r>
      <w:r w:rsidR="00B277AD" w:rsidRPr="00E56F10">
        <w:rPr>
          <w:rFonts w:ascii="Titillium Web" w:eastAsia="Times New Roman" w:hAnsi="Titillium Web" w:cs="Times New Roman"/>
          <w:i/>
          <w:iCs/>
          <w:color w:val="333333"/>
          <w:sz w:val="20"/>
          <w:szCs w:val="20"/>
          <w:lang w:eastAsia="it-IT"/>
        </w:rPr>
        <w:t>ovvero</w:t>
      </w:r>
      <w:r w:rsidR="00B277AD" w:rsidRPr="007A6AD7">
        <w:rPr>
          <w:rFonts w:ascii="Titillium Web" w:eastAsia="Times New Roman" w:hAnsi="Titillium Web" w:cs="Times New Roman"/>
          <w:color w:val="333333"/>
          <w:sz w:val="20"/>
          <w:szCs w:val="20"/>
          <w:lang w:eastAsia="it-IT"/>
        </w:rPr>
        <w:t xml:space="preserve"> allo svolgimento dell’attività di cui al punto 4.1.2 delle Linee Guida (“Opere comprese o finanziate in tutto o in parte nell’ambito del PNRR </w:t>
      </w:r>
      <w:r w:rsidR="007956CD" w:rsidRPr="007A6AD7">
        <w:rPr>
          <w:rFonts w:ascii="Titillium Web" w:eastAsia="Times New Roman" w:hAnsi="Titillium Web" w:cs="Times New Roman"/>
          <w:color w:val="333333"/>
          <w:sz w:val="20"/>
          <w:szCs w:val="20"/>
          <w:lang w:eastAsia="it-IT"/>
        </w:rPr>
        <w:t xml:space="preserve">o del PNC”) </w:t>
      </w:r>
      <w:r w:rsidR="00B277AD" w:rsidRPr="007A6AD7">
        <w:rPr>
          <w:rFonts w:ascii="Titillium Web" w:eastAsia="Times New Roman" w:hAnsi="Titillium Web" w:cs="Times New Roman"/>
          <w:color w:val="333333"/>
          <w:sz w:val="20"/>
          <w:szCs w:val="20"/>
          <w:lang w:eastAsia="it-IT"/>
        </w:rPr>
        <w:t xml:space="preserve"> per un numero di riunioni non inferiore a quattro, e sempre che la </w:t>
      </w:r>
      <w:proofErr w:type="gramStart"/>
      <w:r w:rsidR="00B277AD" w:rsidRPr="007A6AD7">
        <w:rPr>
          <w:rFonts w:ascii="Titillium Web" w:eastAsia="Times New Roman" w:hAnsi="Titillium Web" w:cs="Times New Roman"/>
          <w:color w:val="333333"/>
          <w:sz w:val="20"/>
          <w:szCs w:val="20"/>
          <w:lang w:eastAsia="it-IT"/>
        </w:rPr>
        <w:t>predetta</w:t>
      </w:r>
      <w:proofErr w:type="gramEnd"/>
      <w:r w:rsidR="00B277AD" w:rsidRPr="007A6AD7">
        <w:rPr>
          <w:rFonts w:ascii="Titillium Web" w:eastAsia="Times New Roman" w:hAnsi="Titillium Web" w:cs="Times New Roman"/>
          <w:color w:val="333333"/>
          <w:sz w:val="20"/>
          <w:szCs w:val="20"/>
          <w:lang w:eastAsia="it-IT"/>
        </w:rPr>
        <w:t xml:space="preserve"> attività abbia comportato l’adozione di determinazioni o pareri </w:t>
      </w:r>
      <w:r w:rsidR="00B277AD" w:rsidRPr="00E56F10">
        <w:rPr>
          <w:rFonts w:ascii="Titillium Web" w:eastAsia="Times New Roman" w:hAnsi="Titillium Web" w:cs="Times New Roman"/>
          <w:i/>
          <w:iCs/>
          <w:color w:val="333333"/>
          <w:sz w:val="20"/>
          <w:szCs w:val="20"/>
          <w:lang w:eastAsia="it-IT"/>
        </w:rPr>
        <w:t>ovvero</w:t>
      </w:r>
      <w:r w:rsidR="00B277AD" w:rsidRPr="007A6AD7">
        <w:rPr>
          <w:rFonts w:ascii="Titillium Web" w:eastAsia="Times New Roman" w:hAnsi="Titillium Web" w:cs="Times New Roman"/>
          <w:color w:val="333333"/>
          <w:sz w:val="20"/>
          <w:szCs w:val="20"/>
          <w:lang w:eastAsia="it-IT"/>
        </w:rPr>
        <w:t xml:space="preserve"> lo svolgimento di attività istruttoria o la formulazione di osservazioni preliminari</w:t>
      </w:r>
      <w:r w:rsidR="00B66D06" w:rsidRPr="007A6AD7">
        <w:rPr>
          <w:rFonts w:ascii="Titillium Web" w:eastAsia="Times New Roman" w:hAnsi="Titillium Web" w:cs="Times New Roman"/>
          <w:color w:val="333333"/>
          <w:sz w:val="20"/>
          <w:szCs w:val="20"/>
          <w:lang w:eastAsia="it-IT"/>
        </w:rPr>
        <w:t>;</w:t>
      </w:r>
    </w:p>
    <w:p w14:paraId="62837DF7" w14:textId="38111821" w:rsidR="002A076D" w:rsidRPr="007A6AD7" w:rsidRDefault="007A6AD7" w:rsidP="00BF3C33">
      <w:pPr>
        <w:numPr>
          <w:ilvl w:val="0"/>
          <w:numId w:val="10"/>
        </w:numPr>
        <w:tabs>
          <w:tab w:val="clear" w:pos="720"/>
          <w:tab w:val="num" w:pos="1080"/>
        </w:tabs>
        <w:autoSpaceDE w:val="0"/>
        <w:autoSpaceDN w:val="0"/>
        <w:adjustRightInd w:val="0"/>
        <w:spacing w:after="0" w:line="360" w:lineRule="auto"/>
        <w:contextualSpacing/>
        <w:jc w:val="both"/>
        <w:rPr>
          <w:rFonts w:ascii="Titillium Web" w:eastAsia="Times New Roman" w:hAnsi="Titillium Web" w:cs="Times New Roman"/>
          <w:color w:val="333333"/>
          <w:sz w:val="20"/>
          <w:szCs w:val="20"/>
          <w:lang w:eastAsia="it-IT"/>
        </w:rPr>
      </w:pPr>
      <w:r>
        <w:rPr>
          <w:rFonts w:ascii="Titillium Web" w:eastAsia="Times New Roman" w:hAnsi="Titillium Web" w:cs="Times New Roman"/>
          <w:color w:val="333333"/>
          <w:sz w:val="20"/>
          <w:szCs w:val="20"/>
          <w:lang w:eastAsia="it-IT"/>
        </w:rPr>
        <w:lastRenderedPageBreak/>
        <w:t>l</w:t>
      </w:r>
      <w:r w:rsidR="002A076D" w:rsidRPr="007A6AD7">
        <w:rPr>
          <w:rFonts w:ascii="Titillium Web" w:eastAsia="Times New Roman" w:hAnsi="Titillium Web" w:cs="Times New Roman"/>
          <w:color w:val="333333"/>
          <w:sz w:val="20"/>
          <w:szCs w:val="20"/>
          <w:lang w:eastAsia="it-IT"/>
        </w:rPr>
        <w:t xml:space="preserve">a </w:t>
      </w:r>
      <w:r w:rsidR="00B66D06" w:rsidRPr="007A6AD7">
        <w:rPr>
          <w:rFonts w:ascii="Titillium Web" w:eastAsia="Times New Roman" w:hAnsi="Titillium Web" w:cs="Times New Roman"/>
          <w:b/>
          <w:bCs/>
          <w:color w:val="333333"/>
          <w:sz w:val="20"/>
          <w:szCs w:val="20"/>
          <w:lang w:eastAsia="it-IT"/>
        </w:rPr>
        <w:t>P</w:t>
      </w:r>
      <w:r w:rsidR="00EE229E" w:rsidRPr="007A6AD7">
        <w:rPr>
          <w:rFonts w:ascii="Titillium Web" w:eastAsia="Times New Roman" w:hAnsi="Titillium Web" w:cs="Times New Roman"/>
          <w:b/>
          <w:bCs/>
          <w:color w:val="333333"/>
          <w:sz w:val="20"/>
          <w:szCs w:val="20"/>
          <w:lang w:eastAsia="it-IT"/>
        </w:rPr>
        <w:t xml:space="preserve">arte </w:t>
      </w:r>
      <w:r w:rsidR="00B66D06" w:rsidRPr="007A6AD7">
        <w:rPr>
          <w:rFonts w:ascii="Titillium Web" w:eastAsia="Times New Roman" w:hAnsi="Titillium Web" w:cs="Times New Roman"/>
          <w:b/>
          <w:bCs/>
          <w:color w:val="333333"/>
          <w:sz w:val="20"/>
          <w:szCs w:val="20"/>
          <w:lang w:eastAsia="it-IT"/>
        </w:rPr>
        <w:t>V</w:t>
      </w:r>
      <w:r w:rsidR="00EE229E" w:rsidRPr="007A6AD7">
        <w:rPr>
          <w:rFonts w:ascii="Titillium Web" w:eastAsia="Times New Roman" w:hAnsi="Titillium Web" w:cs="Times New Roman"/>
          <w:b/>
          <w:bCs/>
          <w:color w:val="333333"/>
          <w:sz w:val="20"/>
          <w:szCs w:val="20"/>
          <w:lang w:eastAsia="it-IT"/>
        </w:rPr>
        <w:t>ariabile</w:t>
      </w:r>
      <w:r w:rsidR="002A076D" w:rsidRPr="007A6AD7">
        <w:rPr>
          <w:rFonts w:ascii="Titillium Web" w:eastAsia="Times New Roman" w:hAnsi="Titillium Web" w:cs="Times New Roman"/>
          <w:b/>
          <w:bCs/>
          <w:color w:val="333333"/>
          <w:sz w:val="20"/>
          <w:szCs w:val="20"/>
          <w:lang w:eastAsia="it-IT"/>
        </w:rPr>
        <w:t xml:space="preserve"> </w:t>
      </w:r>
      <w:r w:rsidR="002A076D" w:rsidRPr="007A6AD7">
        <w:rPr>
          <w:rFonts w:ascii="Titillium Web" w:eastAsia="Times New Roman" w:hAnsi="Titillium Web" w:cs="Times New Roman"/>
          <w:color w:val="333333"/>
          <w:sz w:val="20"/>
          <w:szCs w:val="20"/>
          <w:lang w:eastAsia="it-IT"/>
        </w:rPr>
        <w:t>verrà riconosciuta per ciascuna determinazione o parere assunto  e non potrà superare, nella sua soglia massima, il doppio del valore della</w:t>
      </w:r>
      <w:r w:rsidR="002A076D" w:rsidRPr="007A6AD7">
        <w:rPr>
          <w:rFonts w:ascii="Titillium Web" w:eastAsia="Times New Roman" w:hAnsi="Titillium Web" w:cs="Times New Roman"/>
          <w:b/>
          <w:bCs/>
          <w:color w:val="333333"/>
          <w:sz w:val="20"/>
          <w:szCs w:val="20"/>
          <w:lang w:eastAsia="it-IT"/>
        </w:rPr>
        <w:t xml:space="preserve"> Parte Fissa, </w:t>
      </w:r>
      <w:r w:rsidR="002A076D" w:rsidRPr="007A6AD7">
        <w:rPr>
          <w:rFonts w:ascii="Titillium Web" w:eastAsia="Times New Roman" w:hAnsi="Titillium Web" w:cs="Times New Roman"/>
          <w:color w:val="333333"/>
          <w:sz w:val="20"/>
          <w:szCs w:val="20"/>
          <w:lang w:eastAsia="it-IT"/>
        </w:rPr>
        <w:t>come previsto dalle Linee guida al punto 7.2.2.</w:t>
      </w:r>
    </w:p>
    <w:p w14:paraId="77B4C9BD" w14:textId="5163CEB6" w:rsidR="00E32210" w:rsidRPr="00A74906" w:rsidRDefault="00E32210" w:rsidP="00BF3C33">
      <w:pPr>
        <w:numPr>
          <w:ilvl w:val="0"/>
          <w:numId w:val="10"/>
        </w:numPr>
        <w:spacing w:after="0" w:line="360" w:lineRule="auto"/>
        <w:contextualSpacing/>
        <w:jc w:val="both"/>
        <w:rPr>
          <w:rFonts w:ascii="Titillium Web" w:eastAsia="Times New Roman" w:hAnsi="Titillium Web" w:cs="Times New Roman"/>
          <w:color w:val="333333"/>
          <w:sz w:val="20"/>
          <w:szCs w:val="20"/>
          <w:lang w:eastAsia="it-IT"/>
        </w:rPr>
      </w:pPr>
      <w:r w:rsidRPr="007A6AD7">
        <w:rPr>
          <w:rFonts w:ascii="Titillium Web" w:eastAsia="Times New Roman" w:hAnsi="Titillium Web" w:cs="Times New Roman"/>
          <w:color w:val="333333"/>
          <w:sz w:val="20"/>
          <w:szCs w:val="20"/>
          <w:lang w:eastAsia="it-IT"/>
        </w:rPr>
        <w:t xml:space="preserve">l’art. 6 comma 7 bis della Legge 120/20 stabilisce </w:t>
      </w:r>
      <w:r w:rsidR="00B277AD" w:rsidRPr="007A6AD7">
        <w:rPr>
          <w:rFonts w:ascii="Titillium Web" w:eastAsia="Times New Roman" w:hAnsi="Titillium Web" w:cs="Times New Roman"/>
          <w:color w:val="333333"/>
          <w:sz w:val="20"/>
          <w:szCs w:val="20"/>
          <w:lang w:eastAsia="it-IT"/>
        </w:rPr>
        <w:t>in</w:t>
      </w:r>
      <w:r w:rsidR="00B66D06" w:rsidRPr="007A6AD7">
        <w:rPr>
          <w:rFonts w:ascii="Titillium Web" w:eastAsia="Times New Roman" w:hAnsi="Titillium Web" w:cs="Times New Roman"/>
          <w:color w:val="333333"/>
          <w:sz w:val="20"/>
          <w:szCs w:val="20"/>
          <w:lang w:eastAsia="it-IT"/>
        </w:rPr>
        <w:t xml:space="preserve">oltre </w:t>
      </w:r>
      <w:r w:rsidRPr="007A6AD7">
        <w:rPr>
          <w:rFonts w:ascii="Titillium Web" w:eastAsia="Times New Roman" w:hAnsi="Titillium Web" w:cs="Times New Roman"/>
          <w:color w:val="333333"/>
          <w:sz w:val="20"/>
          <w:szCs w:val="20"/>
          <w:lang w:eastAsia="it-IT"/>
        </w:rPr>
        <w:t>che i compensi dei componenti del Collegio non</w:t>
      </w:r>
      <w:r w:rsidRPr="00A74906">
        <w:rPr>
          <w:rFonts w:ascii="Titillium Web" w:eastAsia="Times New Roman" w:hAnsi="Titillium Web" w:cs="Times New Roman"/>
          <w:color w:val="333333"/>
          <w:sz w:val="20"/>
          <w:szCs w:val="20"/>
          <w:lang w:eastAsia="it-IT"/>
        </w:rPr>
        <w:t xml:space="preserve"> possono complessivamente superare, con riferimento all’intero Collegio:</w:t>
      </w:r>
    </w:p>
    <w:p w14:paraId="6DAC4D98" w14:textId="77777777" w:rsidR="00E32210" w:rsidRPr="00A74906" w:rsidRDefault="00E32210" w:rsidP="00BF3C33">
      <w:pPr>
        <w:spacing w:after="0" w:line="360" w:lineRule="auto"/>
        <w:ind w:left="720"/>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in caso di collegio consultivo tecnico composto da tre componenti:</w:t>
      </w:r>
    </w:p>
    <w:p w14:paraId="0629BCD4" w14:textId="77777777" w:rsidR="00E32210" w:rsidRPr="00A74906" w:rsidRDefault="00E32210" w:rsidP="00BF3C33">
      <w:pPr>
        <w:pStyle w:val="Paragrafoelenco"/>
        <w:numPr>
          <w:ilvl w:val="0"/>
          <w:numId w:val="16"/>
        </w:numPr>
        <w:spacing w:after="0" w:line="360" w:lineRule="auto"/>
        <w:contextualSpacing w:val="0"/>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l’importo pari allo 0,5 per cento del valore dell’appalto, per gli appalti di valore non superiore a 50 milioni di euro;</w:t>
      </w:r>
    </w:p>
    <w:p w14:paraId="0A3DC731" w14:textId="77777777" w:rsidR="00E32210" w:rsidRPr="00A74906" w:rsidRDefault="00E32210" w:rsidP="00BF3C33">
      <w:pPr>
        <w:pStyle w:val="Paragrafoelenco"/>
        <w:numPr>
          <w:ilvl w:val="0"/>
          <w:numId w:val="16"/>
        </w:numPr>
        <w:spacing w:after="0" w:line="360" w:lineRule="auto"/>
        <w:contextualSpacing w:val="0"/>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l’importo pari allo 0,25 per cento per la parte del valore dell’appalto eccedente 50 milioni di euro e fino a 100 milioni di euro;</w:t>
      </w:r>
    </w:p>
    <w:p w14:paraId="7F0F62C9" w14:textId="77777777" w:rsidR="00E32210" w:rsidRPr="00A74906" w:rsidRDefault="00E32210" w:rsidP="00BF3C33">
      <w:pPr>
        <w:pStyle w:val="Paragrafoelenco"/>
        <w:numPr>
          <w:ilvl w:val="0"/>
          <w:numId w:val="16"/>
        </w:numPr>
        <w:spacing w:after="0" w:line="360" w:lineRule="auto"/>
        <w:contextualSpacing w:val="0"/>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l’importo pari allo 0,15 per cento per la parte del valore dell’appalto eccedente 100 milioni di euro e fino a 200 milioni di euro;</w:t>
      </w:r>
    </w:p>
    <w:p w14:paraId="0C4DBDDF" w14:textId="77777777" w:rsidR="00E32210" w:rsidRPr="00A74906" w:rsidRDefault="00E32210" w:rsidP="00BF3C33">
      <w:pPr>
        <w:pStyle w:val="Paragrafoelenco"/>
        <w:numPr>
          <w:ilvl w:val="0"/>
          <w:numId w:val="16"/>
        </w:numPr>
        <w:spacing w:after="0" w:line="360" w:lineRule="auto"/>
        <w:contextualSpacing w:val="0"/>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l’importo pari allo 0,10 per cento per la parte del valore dell’appalto eccedente 200 milioni di euro e fino a 500 milioni di euro;</w:t>
      </w:r>
    </w:p>
    <w:p w14:paraId="1D79C970" w14:textId="77777777" w:rsidR="00E32210" w:rsidRPr="00A74906" w:rsidRDefault="00E32210" w:rsidP="00BF3C33">
      <w:pPr>
        <w:pStyle w:val="Paragrafoelenco"/>
        <w:numPr>
          <w:ilvl w:val="0"/>
          <w:numId w:val="16"/>
        </w:numPr>
        <w:spacing w:after="0" w:line="360" w:lineRule="auto"/>
        <w:ind w:hanging="357"/>
        <w:contextualSpacing w:val="0"/>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l’importo pari allo 0,07 per cento per la parte del valore dell’appalto eccedente 500 milioni di euro;</w:t>
      </w:r>
    </w:p>
    <w:p w14:paraId="643194B8" w14:textId="77777777" w:rsidR="00E32210" w:rsidRPr="00A74906" w:rsidRDefault="00E32210" w:rsidP="00BF3C33">
      <w:pPr>
        <w:spacing w:after="0" w:line="360" w:lineRule="auto"/>
        <w:ind w:left="720"/>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in caso di collegio consultivo tecnico composto da cinque componenti:</w:t>
      </w:r>
    </w:p>
    <w:p w14:paraId="5D23382D" w14:textId="77777777" w:rsidR="00E32210" w:rsidRPr="00A74906" w:rsidRDefault="00E32210" w:rsidP="00BF3C33">
      <w:pPr>
        <w:pStyle w:val="Paragrafoelenco"/>
        <w:numPr>
          <w:ilvl w:val="0"/>
          <w:numId w:val="17"/>
        </w:numPr>
        <w:spacing w:after="0" w:line="360" w:lineRule="auto"/>
        <w:ind w:hanging="357"/>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l’importo pari allo 0,8 per cento del valore dell’appalto, per gli appalti di valore non superiore a 50 milioni di euro;</w:t>
      </w:r>
    </w:p>
    <w:p w14:paraId="2B2EEE51" w14:textId="77777777" w:rsidR="00E32210" w:rsidRPr="00A74906" w:rsidRDefault="00E32210" w:rsidP="00BF3C33">
      <w:pPr>
        <w:pStyle w:val="Paragrafoelenco"/>
        <w:numPr>
          <w:ilvl w:val="0"/>
          <w:numId w:val="17"/>
        </w:numPr>
        <w:spacing w:after="0" w:line="360" w:lineRule="auto"/>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l’importo pari allo 0,4 per cento per la parte del valore dell’appalto eccedente 50 milioni di euro e fino a 100 milioni di euro;</w:t>
      </w:r>
    </w:p>
    <w:p w14:paraId="42795658" w14:textId="77777777" w:rsidR="00E32210" w:rsidRPr="00A74906" w:rsidRDefault="00E32210" w:rsidP="00BF3C33">
      <w:pPr>
        <w:pStyle w:val="Paragrafoelenco"/>
        <w:numPr>
          <w:ilvl w:val="0"/>
          <w:numId w:val="17"/>
        </w:numPr>
        <w:spacing w:after="0" w:line="360" w:lineRule="auto"/>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 xml:space="preserve">l’importo pari allo 0,25 per cento per la parte del valore dell’appalto eccedente 100 milioni di euro e fino a 200 milioni di euro; </w:t>
      </w:r>
    </w:p>
    <w:p w14:paraId="43F23B4B" w14:textId="77777777" w:rsidR="00E32210" w:rsidRPr="00A74906" w:rsidRDefault="00E32210" w:rsidP="00BF3C33">
      <w:pPr>
        <w:pStyle w:val="Paragrafoelenco"/>
        <w:numPr>
          <w:ilvl w:val="0"/>
          <w:numId w:val="17"/>
        </w:numPr>
        <w:spacing w:after="0" w:line="360" w:lineRule="auto"/>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l’importo pari allo 0,15 per cento per la parte del valore dell’appalto eccedente 200 milioni di euro e fino a 500 milioni di euro;</w:t>
      </w:r>
    </w:p>
    <w:p w14:paraId="3ED99778" w14:textId="77777777" w:rsidR="00E32210" w:rsidRPr="00A74906" w:rsidRDefault="00E32210" w:rsidP="00BF3C33">
      <w:pPr>
        <w:pStyle w:val="Paragrafoelenco"/>
        <w:numPr>
          <w:ilvl w:val="0"/>
          <w:numId w:val="17"/>
        </w:numPr>
        <w:spacing w:after="0" w:line="360" w:lineRule="auto"/>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l’importo pari allo 0,10 per cento per la parte del valore dell’appalto eccedente 500 milioni di euro</w:t>
      </w:r>
    </w:p>
    <w:p w14:paraId="01596D76" w14:textId="77777777" w:rsidR="00220ECE" w:rsidRDefault="00220ECE" w:rsidP="00BF3C33">
      <w:pPr>
        <w:spacing w:after="0" w:line="360" w:lineRule="auto"/>
        <w:ind w:left="360"/>
        <w:contextualSpacing/>
        <w:jc w:val="both"/>
        <w:rPr>
          <w:rFonts w:ascii="Titillium Web" w:eastAsia="Times New Roman" w:hAnsi="Titillium Web" w:cs="Times New Roman"/>
          <w:sz w:val="20"/>
          <w:szCs w:val="20"/>
          <w:lang w:eastAsia="it-IT"/>
        </w:rPr>
      </w:pPr>
    </w:p>
    <w:p w14:paraId="0F358B8D" w14:textId="2A6860E1" w:rsidR="008023BB" w:rsidRPr="00B303AB" w:rsidRDefault="008023BB" w:rsidP="00BF3C33">
      <w:pPr>
        <w:spacing w:after="0" w:line="360" w:lineRule="auto"/>
        <w:ind w:left="360"/>
        <w:contextualSpacing/>
        <w:jc w:val="both"/>
        <w:rPr>
          <w:rFonts w:ascii="Titillium Web" w:eastAsia="Times New Roman" w:hAnsi="Titillium Web" w:cs="Times New Roman"/>
          <w:sz w:val="20"/>
          <w:szCs w:val="20"/>
          <w:lang w:eastAsia="it-IT"/>
        </w:rPr>
      </w:pPr>
      <w:r w:rsidRPr="00A74906">
        <w:rPr>
          <w:rFonts w:ascii="Titillium Web" w:eastAsia="Times New Roman" w:hAnsi="Titillium Web" w:cs="Times New Roman"/>
          <w:sz w:val="20"/>
          <w:szCs w:val="20"/>
          <w:lang w:eastAsia="it-IT"/>
        </w:rPr>
        <w:t xml:space="preserve">Solo i CV in possesso di tutti i requisiti minimi (come illustrato nel paragrafo “Chi può partecipare”) saranno </w:t>
      </w:r>
      <w:r w:rsidR="00B303AB">
        <w:rPr>
          <w:rFonts w:ascii="Titillium Web" w:eastAsia="Times New Roman" w:hAnsi="Titillium Web" w:cs="Times New Roman"/>
          <w:sz w:val="20"/>
          <w:szCs w:val="20"/>
          <w:lang w:eastAsia="it-IT"/>
        </w:rPr>
        <w:t>ammessi</w:t>
      </w:r>
      <w:r w:rsidRPr="00A74906">
        <w:rPr>
          <w:rFonts w:ascii="Titillium Web" w:eastAsia="Times New Roman" w:hAnsi="Titillium Web" w:cs="Times New Roman"/>
          <w:sz w:val="20"/>
          <w:szCs w:val="20"/>
          <w:lang w:eastAsia="it-IT"/>
        </w:rPr>
        <w:t xml:space="preserve"> per </w:t>
      </w:r>
      <w:r w:rsidR="007D7C17" w:rsidRPr="00A74906">
        <w:rPr>
          <w:rFonts w:ascii="Titillium Web" w:eastAsia="Times New Roman" w:hAnsi="Titillium Web" w:cs="Times New Roman"/>
          <w:sz w:val="20"/>
          <w:szCs w:val="20"/>
          <w:lang w:eastAsia="it-IT"/>
        </w:rPr>
        <w:t>l’inserimento nell’ELENCO CCT. Successivamente i curricula verranno valutati dai singoli Responsabili del Procedimento delle Opere per cui occorre nominare il Collegio.</w:t>
      </w:r>
    </w:p>
    <w:p w14:paraId="1437507B" w14:textId="16323953" w:rsidR="008023BB" w:rsidRPr="00A74906" w:rsidRDefault="008023BB" w:rsidP="00BF3C33">
      <w:pPr>
        <w:spacing w:after="0" w:line="360" w:lineRule="auto"/>
        <w:contextualSpacing/>
        <w:jc w:val="both"/>
        <w:rPr>
          <w:rFonts w:ascii="Titillium Web" w:eastAsia="Times New Roman" w:hAnsi="Titillium Web" w:cs="Times New Roman"/>
          <w:color w:val="333333"/>
          <w:sz w:val="20"/>
          <w:szCs w:val="20"/>
          <w:lang w:eastAsia="it-IT"/>
        </w:rPr>
      </w:pPr>
    </w:p>
    <w:p w14:paraId="3026F7C6" w14:textId="2AF27F94" w:rsidR="000755B5" w:rsidRPr="00A74906" w:rsidRDefault="00922495" w:rsidP="00BF3C33">
      <w:pPr>
        <w:pBdr>
          <w:top w:val="single" w:sz="4" w:space="1" w:color="auto"/>
          <w:left w:val="single" w:sz="4" w:space="4" w:color="auto"/>
          <w:bottom w:val="single" w:sz="4" w:space="1" w:color="auto"/>
          <w:right w:val="single" w:sz="4" w:space="4" w:color="auto"/>
        </w:pBdr>
        <w:shd w:val="clear" w:color="auto" w:fill="2F5496" w:themeFill="accent1" w:themeFillShade="BF"/>
        <w:spacing w:after="0" w:line="360" w:lineRule="auto"/>
        <w:contextualSpacing/>
        <w:jc w:val="both"/>
        <w:rPr>
          <w:rFonts w:ascii="Titillium Web" w:eastAsia="Times New Roman" w:hAnsi="Titillium Web" w:cs="Times New Roman"/>
          <w:b/>
          <w:bCs/>
          <w:color w:val="FFFFFF" w:themeColor="background1"/>
          <w:sz w:val="20"/>
          <w:szCs w:val="20"/>
          <w:lang w:eastAsia="it-IT"/>
        </w:rPr>
      </w:pPr>
      <w:r w:rsidRPr="00A74906">
        <w:rPr>
          <w:rFonts w:ascii="Titillium Web" w:eastAsia="Times New Roman" w:hAnsi="Titillium Web" w:cs="Times New Roman"/>
          <w:b/>
          <w:bCs/>
          <w:color w:val="FFFFFF" w:themeColor="background1"/>
          <w:sz w:val="20"/>
          <w:szCs w:val="20"/>
          <w:lang w:eastAsia="it-IT"/>
        </w:rPr>
        <w:t>CHI PUO’ PARTECIPARE</w:t>
      </w:r>
    </w:p>
    <w:p w14:paraId="792AA7E8" w14:textId="5A438F83" w:rsidR="000755B5" w:rsidRPr="00A74906" w:rsidRDefault="000755B5" w:rsidP="00BF3C33">
      <w:pPr>
        <w:pStyle w:val="NormaleWeb"/>
        <w:numPr>
          <w:ilvl w:val="0"/>
          <w:numId w:val="2"/>
        </w:numPr>
        <w:spacing w:before="0" w:beforeAutospacing="0" w:after="0" w:afterAutospacing="0" w:line="360" w:lineRule="auto"/>
        <w:contextualSpacing/>
        <w:jc w:val="both"/>
        <w:rPr>
          <w:rFonts w:ascii="Titillium Web" w:hAnsi="Titillium Web"/>
          <w:color w:val="333333"/>
          <w:sz w:val="20"/>
          <w:szCs w:val="20"/>
        </w:rPr>
      </w:pPr>
      <w:r w:rsidRPr="00A74906">
        <w:rPr>
          <w:rFonts w:ascii="Titillium Web" w:hAnsi="Titillium Web"/>
          <w:color w:val="333333"/>
          <w:sz w:val="20"/>
          <w:szCs w:val="20"/>
          <w:u w:val="single"/>
        </w:rPr>
        <w:lastRenderedPageBreak/>
        <w:t>Requisiti minimi di ammissione:</w:t>
      </w:r>
    </w:p>
    <w:p w14:paraId="63E8F52F" w14:textId="77777777" w:rsidR="000B00EA" w:rsidRPr="00A74906" w:rsidRDefault="000B00EA" w:rsidP="00BF3C33">
      <w:pPr>
        <w:numPr>
          <w:ilvl w:val="1"/>
          <w:numId w:val="10"/>
        </w:numPr>
        <w:spacing w:after="0" w:line="360" w:lineRule="auto"/>
        <w:contextualSpacing/>
        <w:jc w:val="both"/>
        <w:rPr>
          <w:rFonts w:ascii="Titillium Web" w:hAnsi="Titillium Web"/>
          <w:color w:val="333333"/>
          <w:sz w:val="20"/>
          <w:szCs w:val="20"/>
        </w:rPr>
      </w:pPr>
      <w:r w:rsidRPr="00A74906">
        <w:rPr>
          <w:rFonts w:ascii="Titillium Web" w:hAnsi="Titillium Web"/>
          <w:b/>
          <w:bCs/>
          <w:color w:val="333333"/>
          <w:sz w:val="20"/>
          <w:szCs w:val="20"/>
        </w:rPr>
        <w:t xml:space="preserve">ingegneri e architetti in possesso di </w:t>
      </w:r>
      <w:r w:rsidRPr="007A6AD7">
        <w:rPr>
          <w:rFonts w:ascii="Titillium Web" w:hAnsi="Titillium Web"/>
          <w:b/>
          <w:bCs/>
          <w:color w:val="333333"/>
          <w:sz w:val="20"/>
          <w:szCs w:val="20"/>
          <w:u w:val="single"/>
        </w:rPr>
        <w:t xml:space="preserve">uno </w:t>
      </w:r>
      <w:r w:rsidRPr="007A6AD7">
        <w:rPr>
          <w:rFonts w:ascii="Titillium Web" w:hAnsi="Titillium Web"/>
          <w:b/>
          <w:bCs/>
          <w:color w:val="333333"/>
          <w:sz w:val="20"/>
          <w:szCs w:val="20"/>
        </w:rPr>
        <w:t xml:space="preserve">dei </w:t>
      </w:r>
      <w:r w:rsidRPr="00A74906">
        <w:rPr>
          <w:rFonts w:ascii="Titillium Web" w:hAnsi="Titillium Web"/>
          <w:b/>
          <w:bCs/>
          <w:color w:val="333333"/>
          <w:sz w:val="20"/>
          <w:szCs w:val="20"/>
        </w:rPr>
        <w:t>seguenti requisiti</w:t>
      </w:r>
      <w:r w:rsidRPr="00A74906">
        <w:rPr>
          <w:rFonts w:ascii="Titillium Web" w:hAnsi="Titillium Web"/>
          <w:color w:val="333333"/>
          <w:sz w:val="20"/>
          <w:szCs w:val="20"/>
        </w:rPr>
        <w:t xml:space="preserve">: </w:t>
      </w:r>
    </w:p>
    <w:p w14:paraId="7B12F678" w14:textId="0CE98580" w:rsidR="000B00EA" w:rsidRPr="00A74906" w:rsidRDefault="00BE4CF6" w:rsidP="00BF3C33">
      <w:pPr>
        <w:pStyle w:val="Paragrafoelenco"/>
        <w:numPr>
          <w:ilvl w:val="0"/>
          <w:numId w:val="12"/>
        </w:numPr>
        <w:spacing w:after="0" w:line="360" w:lineRule="auto"/>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 xml:space="preserve">aver ricoperto per </w:t>
      </w:r>
      <w:r w:rsidR="000B00EA" w:rsidRPr="00A74906">
        <w:rPr>
          <w:rFonts w:ascii="Titillium Web" w:eastAsia="Times New Roman" w:hAnsi="Titillium Web" w:cs="Times New Roman"/>
          <w:color w:val="333333"/>
          <w:sz w:val="20"/>
          <w:szCs w:val="20"/>
          <w:lang w:eastAsia="it-IT"/>
        </w:rPr>
        <w:t xml:space="preserve">almeno dieci anni il ruolo di funzionario tecnico di livello apicale delle amministrazioni pubbliche di cui all’art. 1, comma 2, del decreto legislativo n. 165/2001 o delle stazioni appaltanti con personalità giuridica di diritto privato soggette all’applicazione del codice dei contratti pubblici; </w:t>
      </w:r>
    </w:p>
    <w:p w14:paraId="2186571A" w14:textId="77777777" w:rsidR="000B00EA" w:rsidRPr="00A74906" w:rsidRDefault="000B00EA" w:rsidP="00BF3C33">
      <w:pPr>
        <w:pStyle w:val="Paragrafoelenco"/>
        <w:numPr>
          <w:ilvl w:val="0"/>
          <w:numId w:val="12"/>
        </w:numPr>
        <w:spacing w:after="0" w:line="360" w:lineRule="auto"/>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 xml:space="preserve">iscrizione all’albo professionale da almeno dieci anni con significativa esperienza documentabile attraverso lo svolgimento di incarichi di cui al punto 2.4.2. delle Linee Guida </w:t>
      </w:r>
      <w:r w:rsidRPr="00E56F10">
        <w:rPr>
          <w:rFonts w:ascii="Titillium Web" w:eastAsia="Times New Roman" w:hAnsi="Titillium Web" w:cs="Times New Roman"/>
          <w:i/>
          <w:iCs/>
          <w:color w:val="333333"/>
          <w:sz w:val="20"/>
          <w:szCs w:val="20"/>
          <w:lang w:eastAsia="it-IT"/>
        </w:rPr>
        <w:t>ovvero</w:t>
      </w:r>
      <w:r w:rsidRPr="00A74906">
        <w:rPr>
          <w:rFonts w:ascii="Titillium Web" w:eastAsia="Times New Roman" w:hAnsi="Titillium Web" w:cs="Times New Roman"/>
          <w:color w:val="333333"/>
          <w:sz w:val="20"/>
          <w:szCs w:val="20"/>
          <w:lang w:eastAsia="it-IT"/>
        </w:rPr>
        <w:t xml:space="preserve"> di ausiliario del magistrato o consulente tecnico di parte in contenziosi nel settore dei lavori pubblici, di collaudatore tecnico-amministrativo, di componente di commissione per l’accordo bonario, di commissario di gara nella quale la selezione delle offerte ammesse secondo il criterio con l’offerta economicamente più vantaggiosa, supporto al responsabile del procedimento o progettista nell’ambito di affidamenti di contratti di lavori pubblici di importo superiore alle soglie europee, dottorato e di ricerca in materie attinenti all’edilizia, alle infrastrutture e agli impianti;</w:t>
      </w:r>
    </w:p>
    <w:p w14:paraId="39C83D83" w14:textId="77777777" w:rsidR="000B00EA" w:rsidRPr="00A74906" w:rsidRDefault="000B00EA" w:rsidP="00BF3C33">
      <w:pPr>
        <w:numPr>
          <w:ilvl w:val="1"/>
          <w:numId w:val="10"/>
        </w:numPr>
        <w:spacing w:after="0" w:line="360" w:lineRule="auto"/>
        <w:contextualSpacing/>
        <w:jc w:val="both"/>
        <w:rPr>
          <w:rFonts w:ascii="Titillium Web" w:hAnsi="Titillium Web"/>
          <w:b/>
          <w:bCs/>
          <w:color w:val="333333"/>
          <w:sz w:val="20"/>
          <w:szCs w:val="20"/>
        </w:rPr>
      </w:pPr>
      <w:r w:rsidRPr="00A74906">
        <w:rPr>
          <w:rFonts w:ascii="Titillium Web" w:hAnsi="Titillium Web"/>
          <w:b/>
          <w:bCs/>
          <w:color w:val="333333"/>
          <w:sz w:val="20"/>
          <w:szCs w:val="20"/>
        </w:rPr>
        <w:t xml:space="preserve">giuristi in possesso di </w:t>
      </w:r>
      <w:r w:rsidRPr="007A6AD7">
        <w:rPr>
          <w:rFonts w:ascii="Titillium Web" w:hAnsi="Titillium Web"/>
          <w:b/>
          <w:bCs/>
          <w:color w:val="333333"/>
          <w:sz w:val="20"/>
          <w:szCs w:val="20"/>
          <w:u w:val="single"/>
        </w:rPr>
        <w:t>uno</w:t>
      </w:r>
      <w:r w:rsidRPr="00A74906">
        <w:rPr>
          <w:rFonts w:ascii="Titillium Web" w:hAnsi="Titillium Web"/>
          <w:b/>
          <w:bCs/>
          <w:color w:val="333333"/>
          <w:sz w:val="20"/>
          <w:szCs w:val="20"/>
        </w:rPr>
        <w:t xml:space="preserve"> dei seguenti requisiti: </w:t>
      </w:r>
    </w:p>
    <w:p w14:paraId="51ECA5DA" w14:textId="75B3446E" w:rsidR="000B00EA" w:rsidRPr="00A74906" w:rsidRDefault="00BE4CF6" w:rsidP="00BF3C33">
      <w:pPr>
        <w:pStyle w:val="Paragrafoelenco"/>
        <w:numPr>
          <w:ilvl w:val="0"/>
          <w:numId w:val="12"/>
        </w:numPr>
        <w:spacing w:after="0" w:line="360" w:lineRule="auto"/>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 xml:space="preserve">aver ricoperto per </w:t>
      </w:r>
      <w:r w:rsidR="000B00EA" w:rsidRPr="00A74906">
        <w:rPr>
          <w:rFonts w:ascii="Titillium Web" w:eastAsia="Times New Roman" w:hAnsi="Titillium Web" w:cs="Times New Roman"/>
          <w:color w:val="333333"/>
          <w:sz w:val="20"/>
          <w:szCs w:val="20"/>
          <w:lang w:eastAsia="it-IT"/>
        </w:rPr>
        <w:t xml:space="preserve">almeno dieci anni il ruolo di funzionario di livello apicale nel campo giuridico delle amministrazioni pubbliche di cui all’art. 1, comma 2, del decreto legislativo n. 165/2001 o delle stazioni appaltanti con personalità giuridica di diritto privato soggette all’applicazione del codice dei contratti pubblici, </w:t>
      </w:r>
    </w:p>
    <w:p w14:paraId="7EA37F2C" w14:textId="6F0F3D08" w:rsidR="000B00EA" w:rsidRPr="00A74906" w:rsidRDefault="002D636B" w:rsidP="00BF3C33">
      <w:pPr>
        <w:pStyle w:val="Paragrafoelenco"/>
        <w:numPr>
          <w:ilvl w:val="0"/>
          <w:numId w:val="12"/>
        </w:numPr>
        <w:spacing w:after="0" w:line="360" w:lineRule="auto"/>
        <w:jc w:val="both"/>
        <w:rPr>
          <w:rFonts w:ascii="Titillium Web" w:eastAsia="Times New Roman" w:hAnsi="Titillium Web" w:cs="Times New Roman"/>
          <w:color w:val="333333"/>
          <w:sz w:val="20"/>
          <w:szCs w:val="20"/>
          <w:lang w:eastAsia="it-IT"/>
        </w:rPr>
      </w:pPr>
      <w:r w:rsidRPr="00B92573">
        <w:rPr>
          <w:rFonts w:cstheme="minorHAnsi"/>
          <w:color w:val="333333"/>
        </w:rPr>
        <w:t>essere iscritto all’albo professionale degli avvocati da almeno dieci anni con significativa esperienza documentabile attraverso lo svolgimento di incarichi di cui al punto 2.4.2. delle Linee Guida o di difensore di parte pubblica o privata in giudizi per contenziosi di tipo amministrativo o civile nel settore dei lavori pubblici, di collaudatore tecnico-amministrativo, di componente di commissione per l’accordo bonario, di commissario di gara con l’offerta economicamente più vantaggiosa e di supporto al responsabile del procedimento nell’ambito di affidamenti di contratti di lavori pubblici sopra la soglia comunitaria, aver conseguito il titolo di dottore di ricerca su tematiche attinenti alla - legislazione in materia di opere pubbliche</w:t>
      </w:r>
      <w:r w:rsidR="000B00EA" w:rsidRPr="00A74906">
        <w:rPr>
          <w:rFonts w:ascii="Titillium Web" w:eastAsia="Times New Roman" w:hAnsi="Titillium Web" w:cs="Times New Roman"/>
          <w:color w:val="333333"/>
          <w:sz w:val="20"/>
          <w:szCs w:val="20"/>
          <w:lang w:eastAsia="it-IT"/>
        </w:rPr>
        <w:t>;</w:t>
      </w:r>
    </w:p>
    <w:p w14:paraId="6152B929" w14:textId="77777777" w:rsidR="000B00EA" w:rsidRPr="00A74906" w:rsidRDefault="000B00EA" w:rsidP="00BF3C33">
      <w:pPr>
        <w:numPr>
          <w:ilvl w:val="1"/>
          <w:numId w:val="10"/>
        </w:numPr>
        <w:spacing w:after="0" w:line="360" w:lineRule="auto"/>
        <w:contextualSpacing/>
        <w:jc w:val="both"/>
        <w:rPr>
          <w:rFonts w:ascii="Titillium Web" w:hAnsi="Titillium Web"/>
          <w:b/>
          <w:bCs/>
          <w:color w:val="333333"/>
          <w:sz w:val="20"/>
          <w:szCs w:val="20"/>
        </w:rPr>
      </w:pPr>
      <w:r w:rsidRPr="00A74906">
        <w:rPr>
          <w:rFonts w:ascii="Titillium Web" w:hAnsi="Titillium Web"/>
          <w:b/>
          <w:bCs/>
          <w:color w:val="333333"/>
          <w:sz w:val="20"/>
          <w:szCs w:val="20"/>
        </w:rPr>
        <w:t xml:space="preserve">economisti In possesso di </w:t>
      </w:r>
      <w:r w:rsidRPr="007A6AD7">
        <w:rPr>
          <w:rFonts w:ascii="Titillium Web" w:hAnsi="Titillium Web"/>
          <w:b/>
          <w:bCs/>
          <w:color w:val="333333"/>
          <w:sz w:val="20"/>
          <w:szCs w:val="20"/>
          <w:u w:val="single"/>
        </w:rPr>
        <w:t>uno</w:t>
      </w:r>
      <w:r w:rsidRPr="00A74906">
        <w:rPr>
          <w:rFonts w:ascii="Titillium Web" w:hAnsi="Titillium Web"/>
          <w:b/>
          <w:bCs/>
          <w:color w:val="333333"/>
          <w:sz w:val="20"/>
          <w:szCs w:val="20"/>
        </w:rPr>
        <w:t xml:space="preserve"> dei seguenti requisiti: </w:t>
      </w:r>
    </w:p>
    <w:p w14:paraId="3D96559A" w14:textId="77777777" w:rsidR="000B00EA" w:rsidRPr="00A74906" w:rsidRDefault="000B00EA" w:rsidP="00BF3C33">
      <w:pPr>
        <w:pStyle w:val="Paragrafoelenco"/>
        <w:numPr>
          <w:ilvl w:val="0"/>
          <w:numId w:val="12"/>
        </w:numPr>
        <w:spacing w:after="0" w:line="360" w:lineRule="auto"/>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 xml:space="preserve">aver ricoperto per almeno dieci anni il ruolo di funzionario contabile di livello apicale di amministrazioni pubbliche di cui all’art. 1, comma 2, del decreto legislativo n. 165/2001 o delle </w:t>
      </w:r>
      <w:r w:rsidRPr="00A74906">
        <w:rPr>
          <w:rFonts w:ascii="Titillium Web" w:eastAsia="Times New Roman" w:hAnsi="Titillium Web" w:cs="Times New Roman"/>
          <w:color w:val="333333"/>
          <w:sz w:val="20"/>
          <w:szCs w:val="20"/>
          <w:lang w:eastAsia="it-IT"/>
        </w:rPr>
        <w:lastRenderedPageBreak/>
        <w:t xml:space="preserve">stazioni appaltanti con personalità giuridica di diritto privato soggette all’applicazione del codice dei contratti pubblici; </w:t>
      </w:r>
    </w:p>
    <w:p w14:paraId="4B5ECA83" w14:textId="77777777" w:rsidR="000B00EA" w:rsidRPr="00A74906" w:rsidRDefault="000B00EA" w:rsidP="00BF3C33">
      <w:pPr>
        <w:pStyle w:val="Paragrafoelenco"/>
        <w:numPr>
          <w:ilvl w:val="0"/>
          <w:numId w:val="12"/>
        </w:numPr>
        <w:spacing w:after="0" w:line="360" w:lineRule="auto"/>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 xml:space="preserve">essere iscritto all’albo dei dottori commercialisti ed esperti contabili </w:t>
      </w:r>
      <w:r w:rsidRPr="00E56F10">
        <w:rPr>
          <w:rFonts w:ascii="Titillium Web" w:eastAsia="Times New Roman" w:hAnsi="Titillium Web" w:cs="Times New Roman"/>
          <w:i/>
          <w:iCs/>
          <w:color w:val="333333"/>
          <w:sz w:val="20"/>
          <w:szCs w:val="20"/>
          <w:lang w:eastAsia="it-IT"/>
        </w:rPr>
        <w:t>ovvero</w:t>
      </w:r>
      <w:r w:rsidRPr="00A74906">
        <w:rPr>
          <w:rFonts w:ascii="Titillium Web" w:eastAsia="Times New Roman" w:hAnsi="Titillium Web" w:cs="Times New Roman"/>
          <w:color w:val="333333"/>
          <w:sz w:val="20"/>
          <w:szCs w:val="20"/>
          <w:lang w:eastAsia="it-IT"/>
        </w:rPr>
        <w:t xml:space="preserve"> nel registro dei revisori legali da almeno dieci anni con significativa esperienza documentabile attraverso lo svolgimento di incarichi di cui al punto 2.4.2. delle Linee Guida o di programmazione economica e finanziaria, di collaudatore tecnico-amministrativo, di componente di commissione per l’accordo bonario commissario di gara con l’offerta economicamente più vantaggiosa e di supporto al responsabile del procedimento nell’ambito di affidamenti di contratti pubblici sopra la soglia comunitaria, aver conseguito il titolo di dottore di ricerca su tematiche attinenti alla legislazione in materia di opere pubbliche.</w:t>
      </w:r>
    </w:p>
    <w:p w14:paraId="6B545AED" w14:textId="6D3EB808" w:rsidR="00A74906" w:rsidRPr="00A74906" w:rsidRDefault="00A74906" w:rsidP="00BF3C33">
      <w:pPr>
        <w:numPr>
          <w:ilvl w:val="1"/>
          <w:numId w:val="10"/>
        </w:numPr>
        <w:spacing w:after="0" w:line="360" w:lineRule="auto"/>
        <w:contextualSpacing/>
        <w:jc w:val="both"/>
        <w:rPr>
          <w:rFonts w:ascii="Titillium Web" w:hAnsi="Titillium Web" w:cstheme="minorHAnsi"/>
          <w:bCs/>
          <w:sz w:val="20"/>
          <w:szCs w:val="20"/>
        </w:rPr>
      </w:pPr>
      <w:r w:rsidRPr="00A74906">
        <w:rPr>
          <w:rFonts w:ascii="Titillium Web" w:eastAsia="Calibri" w:hAnsi="Titillium Web" w:cstheme="minorHAnsi"/>
          <w:sz w:val="20"/>
          <w:szCs w:val="20"/>
        </w:rPr>
        <w:t>di possedere la cittadinanza italiana o di altro Stato membro dell’Unione Europea;</w:t>
      </w:r>
    </w:p>
    <w:p w14:paraId="1E312BD0" w14:textId="451941FE" w:rsidR="00A74906" w:rsidRPr="00A74906" w:rsidRDefault="00A74906" w:rsidP="00BF3C33">
      <w:pPr>
        <w:numPr>
          <w:ilvl w:val="1"/>
          <w:numId w:val="10"/>
        </w:numPr>
        <w:spacing w:after="0" w:line="360" w:lineRule="auto"/>
        <w:contextualSpacing/>
        <w:jc w:val="both"/>
        <w:rPr>
          <w:rFonts w:ascii="Titillium Web" w:hAnsi="Titillium Web" w:cstheme="minorHAnsi"/>
          <w:bCs/>
          <w:sz w:val="20"/>
          <w:szCs w:val="20"/>
        </w:rPr>
      </w:pPr>
      <w:r w:rsidRPr="00A74906">
        <w:rPr>
          <w:rFonts w:ascii="Titillium Web" w:eastAsia="Calibri" w:hAnsi="Titillium Web" w:cstheme="minorHAnsi"/>
          <w:sz w:val="20"/>
          <w:szCs w:val="20"/>
        </w:rPr>
        <w:t>di godere dei diritti civili e politici dello Stato di appartenenza o provenienza;</w:t>
      </w:r>
    </w:p>
    <w:p w14:paraId="5F6A8BD3" w14:textId="797E807D" w:rsidR="00A74906" w:rsidRPr="00A74906" w:rsidRDefault="00A74906" w:rsidP="00BF3C33">
      <w:pPr>
        <w:numPr>
          <w:ilvl w:val="1"/>
          <w:numId w:val="10"/>
        </w:numPr>
        <w:spacing w:after="0" w:line="360" w:lineRule="auto"/>
        <w:contextualSpacing/>
        <w:jc w:val="both"/>
        <w:rPr>
          <w:rFonts w:ascii="Titillium Web" w:hAnsi="Titillium Web" w:cstheme="minorHAnsi"/>
          <w:bCs/>
          <w:sz w:val="20"/>
          <w:szCs w:val="20"/>
        </w:rPr>
      </w:pPr>
      <w:r w:rsidRPr="00A74906">
        <w:rPr>
          <w:rFonts w:ascii="Titillium Web" w:eastAsia="Calibri" w:hAnsi="Titillium Web" w:cstheme="minorHAnsi"/>
          <w:sz w:val="20"/>
          <w:szCs w:val="20"/>
        </w:rPr>
        <w:t xml:space="preserve">di non essere destinatario di provvedimenti disciplinari che impediscano, anche temporaneamente, l'esercizio della professione; </w:t>
      </w:r>
    </w:p>
    <w:p w14:paraId="71DCC708" w14:textId="5D27B727" w:rsidR="00A74906" w:rsidRPr="00A74906" w:rsidRDefault="00A74906" w:rsidP="00BF3C33">
      <w:pPr>
        <w:numPr>
          <w:ilvl w:val="1"/>
          <w:numId w:val="10"/>
        </w:numPr>
        <w:spacing w:after="0" w:line="360" w:lineRule="auto"/>
        <w:contextualSpacing/>
        <w:jc w:val="both"/>
        <w:rPr>
          <w:rFonts w:ascii="Titillium Web" w:hAnsi="Titillium Web" w:cstheme="minorHAnsi"/>
          <w:bCs/>
          <w:sz w:val="20"/>
          <w:szCs w:val="20"/>
        </w:rPr>
      </w:pPr>
      <w:r w:rsidRPr="00A74906">
        <w:rPr>
          <w:rFonts w:ascii="Titillium Web" w:hAnsi="Titillium Web"/>
          <w:color w:val="333333"/>
          <w:sz w:val="20"/>
          <w:szCs w:val="20"/>
        </w:rPr>
        <w:t>di</w:t>
      </w:r>
      <w:r w:rsidRPr="00A74906">
        <w:rPr>
          <w:rFonts w:ascii="Titillium Web" w:hAnsi="Titillium Web" w:cstheme="minorHAnsi"/>
          <w:sz w:val="20"/>
          <w:szCs w:val="20"/>
        </w:rPr>
        <w:t xml:space="preserve"> non avere riportato condanne penali che comportino l'impossibilità a contrarre con la P.A.;</w:t>
      </w:r>
    </w:p>
    <w:p w14:paraId="3DCC7412" w14:textId="181420E7" w:rsidR="00A74906" w:rsidRPr="00A74906" w:rsidRDefault="00A74906" w:rsidP="00BF3C33">
      <w:pPr>
        <w:numPr>
          <w:ilvl w:val="1"/>
          <w:numId w:val="10"/>
        </w:numPr>
        <w:spacing w:after="0" w:line="360" w:lineRule="auto"/>
        <w:contextualSpacing/>
        <w:jc w:val="both"/>
        <w:rPr>
          <w:rFonts w:ascii="Titillium Web" w:hAnsi="Titillium Web" w:cstheme="minorHAnsi"/>
          <w:bCs/>
          <w:sz w:val="20"/>
          <w:szCs w:val="20"/>
        </w:rPr>
      </w:pPr>
      <w:r w:rsidRPr="00A74906">
        <w:rPr>
          <w:rFonts w:ascii="Titillium Web" w:hAnsi="Titillium Web" w:cstheme="minorHAnsi"/>
          <w:sz w:val="20"/>
          <w:szCs w:val="20"/>
        </w:rPr>
        <w:t>che nei propri confronti non sussistono le cause di divieto, di decadenza o di sospensione previste dall'art. 67 del D. Lgs. 159/2011 ;</w:t>
      </w:r>
    </w:p>
    <w:p w14:paraId="678D9B3F" w14:textId="77777777" w:rsidR="00A74906" w:rsidRPr="00A74906" w:rsidRDefault="00A74906" w:rsidP="00BF3C33">
      <w:pPr>
        <w:numPr>
          <w:ilvl w:val="1"/>
          <w:numId w:val="10"/>
        </w:numPr>
        <w:spacing w:after="0" w:line="360" w:lineRule="auto"/>
        <w:contextualSpacing/>
        <w:jc w:val="both"/>
        <w:rPr>
          <w:rFonts w:ascii="Titillium Web" w:hAnsi="Titillium Web" w:cstheme="minorHAnsi"/>
          <w:bCs/>
          <w:sz w:val="20"/>
          <w:szCs w:val="20"/>
        </w:rPr>
      </w:pPr>
      <w:r w:rsidRPr="00A74906">
        <w:rPr>
          <w:rFonts w:ascii="Titillium Web" w:eastAsia="Calibri" w:hAnsi="Titillium Web" w:cstheme="minorHAnsi"/>
          <w:sz w:val="20"/>
          <w:szCs w:val="20"/>
        </w:rPr>
        <w:t>l’assenza di provvedimenti di destituzione dall’impiego presso una Pubblica Amministrazione a seguito di procedimento disciplinare, di dispensa dalla stessa per persistente o insufficiente rendimento, di decadenza o licenziamento da altro impiego pubblico per averlo conseguito mediante produzione dei documenti falsi o viziati da invalidità non sanabile o per qualsiasi altra causa ai sensi della normativa vigente;</w:t>
      </w:r>
    </w:p>
    <w:p w14:paraId="3E89AF61" w14:textId="77777777" w:rsidR="00A74906" w:rsidRPr="00A74906" w:rsidRDefault="00A74906" w:rsidP="00BF3C33">
      <w:pPr>
        <w:numPr>
          <w:ilvl w:val="1"/>
          <w:numId w:val="10"/>
        </w:numPr>
        <w:spacing w:after="0" w:line="360" w:lineRule="auto"/>
        <w:contextualSpacing/>
        <w:jc w:val="both"/>
        <w:rPr>
          <w:rFonts w:ascii="Titillium Web" w:hAnsi="Titillium Web" w:cstheme="minorHAnsi"/>
          <w:bCs/>
          <w:sz w:val="20"/>
          <w:szCs w:val="20"/>
        </w:rPr>
      </w:pPr>
      <w:r w:rsidRPr="00A74906">
        <w:rPr>
          <w:rFonts w:ascii="Titillium Web" w:eastAsia="Calibri" w:hAnsi="Titillium Web" w:cstheme="minorHAnsi"/>
          <w:sz w:val="20"/>
          <w:szCs w:val="20"/>
        </w:rPr>
        <w:t>che non ricada in alcuno dei casi di cui all’art. 6 comma 8 legge 120/2020;</w:t>
      </w:r>
    </w:p>
    <w:p w14:paraId="19CB2F1C" w14:textId="225383BF" w:rsidR="000755B5" w:rsidRPr="001F0976" w:rsidRDefault="00A74906" w:rsidP="00BF3C33">
      <w:pPr>
        <w:numPr>
          <w:ilvl w:val="1"/>
          <w:numId w:val="10"/>
        </w:numPr>
        <w:spacing w:after="0" w:line="360" w:lineRule="auto"/>
        <w:contextualSpacing/>
        <w:jc w:val="both"/>
        <w:rPr>
          <w:rFonts w:ascii="Titillium Web" w:hAnsi="Titillium Web" w:cstheme="minorHAnsi"/>
          <w:bCs/>
          <w:sz w:val="20"/>
          <w:szCs w:val="20"/>
        </w:rPr>
      </w:pPr>
      <w:r w:rsidRPr="00A74906">
        <w:rPr>
          <w:rFonts w:ascii="Titillium Web" w:eastAsia="Calibri" w:hAnsi="Titillium Web" w:cstheme="minorHAnsi"/>
          <w:sz w:val="20"/>
          <w:szCs w:val="20"/>
        </w:rPr>
        <w:t xml:space="preserve">che il possesso delle competenze professionali è documentato mediante la presentazione del </w:t>
      </w:r>
      <w:r w:rsidRPr="00A74906">
        <w:rPr>
          <w:rFonts w:ascii="Titillium Web" w:hAnsi="Titillium Web" w:cstheme="minorHAnsi"/>
          <w:bCs/>
          <w:sz w:val="20"/>
          <w:szCs w:val="20"/>
        </w:rPr>
        <w:t xml:space="preserve">curriculum vitae in formato europeo, datato, sottoscritto, corredato di apposita dichiarazione ai sensi dell’art 46 e 47 del DPR 445/2000 sulla veridicità delle informazioni contenute </w:t>
      </w:r>
    </w:p>
    <w:p w14:paraId="24167273" w14:textId="694A78C5" w:rsidR="000755B5" w:rsidRPr="00613E8E" w:rsidRDefault="000755B5" w:rsidP="00BF3C33">
      <w:pPr>
        <w:numPr>
          <w:ilvl w:val="1"/>
          <w:numId w:val="10"/>
        </w:numPr>
        <w:spacing w:after="0" w:line="360" w:lineRule="auto"/>
        <w:contextualSpacing/>
        <w:jc w:val="both"/>
        <w:rPr>
          <w:rFonts w:ascii="Titillium Web" w:hAnsi="Titillium Web"/>
          <w:color w:val="333333"/>
          <w:sz w:val="20"/>
          <w:szCs w:val="20"/>
        </w:rPr>
      </w:pPr>
      <w:r w:rsidRPr="00613E8E">
        <w:rPr>
          <w:rFonts w:ascii="Titillium Web" w:hAnsi="Titillium Web"/>
          <w:color w:val="333333"/>
          <w:sz w:val="20"/>
          <w:szCs w:val="20"/>
        </w:rPr>
        <w:t xml:space="preserve">non essere incorso nei divieti di cui all’art.53, comma 16-ter, del </w:t>
      </w:r>
      <w:proofErr w:type="spellStart"/>
      <w:r w:rsidRPr="00613E8E">
        <w:rPr>
          <w:rFonts w:ascii="Titillium Web" w:hAnsi="Titillium Web"/>
          <w:color w:val="333333"/>
          <w:sz w:val="20"/>
          <w:szCs w:val="20"/>
        </w:rPr>
        <w:t>D.Lgs</w:t>
      </w:r>
      <w:proofErr w:type="spellEnd"/>
      <w:r w:rsidRPr="00613E8E">
        <w:rPr>
          <w:rFonts w:ascii="Titillium Web" w:hAnsi="Titillium Web"/>
          <w:color w:val="333333"/>
          <w:sz w:val="20"/>
          <w:szCs w:val="20"/>
        </w:rPr>
        <w:t xml:space="preserve"> 165/2001;</w:t>
      </w:r>
    </w:p>
    <w:p w14:paraId="60A95133" w14:textId="77777777" w:rsidR="000755B5" w:rsidRPr="00A74906" w:rsidRDefault="000755B5" w:rsidP="00BF3C33">
      <w:pPr>
        <w:pStyle w:val="NormaleWeb"/>
        <w:spacing w:before="0" w:beforeAutospacing="0" w:after="0" w:afterAutospacing="0" w:line="360" w:lineRule="auto"/>
        <w:ind w:left="720"/>
        <w:contextualSpacing/>
        <w:jc w:val="both"/>
        <w:rPr>
          <w:rFonts w:ascii="Titillium Web" w:hAnsi="Titillium Web"/>
          <w:color w:val="333333"/>
          <w:sz w:val="20"/>
          <w:szCs w:val="20"/>
        </w:rPr>
      </w:pPr>
      <w:r w:rsidRPr="00A74906">
        <w:rPr>
          <w:rStyle w:val="Enfasigrassetto"/>
          <w:rFonts w:ascii="Titillium Web" w:hAnsi="Titillium Web"/>
          <w:color w:val="333333"/>
          <w:sz w:val="20"/>
          <w:szCs w:val="20"/>
        </w:rPr>
        <w:t> </w:t>
      </w:r>
    </w:p>
    <w:p w14:paraId="5A9D00B8" w14:textId="750F3B65" w:rsidR="000755B5" w:rsidRPr="00A74906" w:rsidRDefault="000755B5" w:rsidP="00BF3C33">
      <w:pPr>
        <w:pStyle w:val="NormaleWeb"/>
        <w:spacing w:before="0" w:beforeAutospacing="0" w:after="0" w:afterAutospacing="0" w:line="360" w:lineRule="auto"/>
        <w:ind w:left="720"/>
        <w:contextualSpacing/>
        <w:jc w:val="both"/>
        <w:rPr>
          <w:rFonts w:ascii="Titillium Web" w:hAnsi="Titillium Web"/>
          <w:color w:val="333333"/>
          <w:sz w:val="20"/>
          <w:szCs w:val="20"/>
        </w:rPr>
      </w:pPr>
      <w:r w:rsidRPr="00A74906">
        <w:rPr>
          <w:rStyle w:val="Enfasigrassetto"/>
          <w:rFonts w:ascii="Titillium Web" w:hAnsi="Titillium Web"/>
          <w:color w:val="333333"/>
          <w:sz w:val="20"/>
          <w:szCs w:val="20"/>
        </w:rPr>
        <w:t xml:space="preserve">Il mancato possesso dei requisiti minimi dichiarati dai candidati comporta </w:t>
      </w:r>
      <w:r w:rsidR="00613E8E">
        <w:rPr>
          <w:rStyle w:val="Enfasigrassetto"/>
          <w:rFonts w:ascii="Titillium Web" w:hAnsi="Titillium Web"/>
          <w:color w:val="333333"/>
          <w:sz w:val="20"/>
          <w:szCs w:val="20"/>
        </w:rPr>
        <w:t>la non ammissione nell’elenco CCT</w:t>
      </w:r>
      <w:r w:rsidRPr="00A74906">
        <w:rPr>
          <w:rStyle w:val="Enfasigrassetto"/>
          <w:rFonts w:ascii="Titillium Web" w:hAnsi="Titillium Web"/>
          <w:color w:val="333333"/>
          <w:sz w:val="20"/>
          <w:szCs w:val="20"/>
        </w:rPr>
        <w:t>, ferma restando la responsabilità individuale prevista dalla vigente normativa in caso di dichiarazioni mendaci.</w:t>
      </w:r>
    </w:p>
    <w:p w14:paraId="09F03816" w14:textId="6056B007" w:rsidR="00922495" w:rsidRPr="00A74906" w:rsidRDefault="00922495" w:rsidP="00BF3C33">
      <w:pPr>
        <w:spacing w:after="0" w:line="360" w:lineRule="auto"/>
        <w:ind w:left="720"/>
        <w:contextualSpacing/>
        <w:jc w:val="both"/>
        <w:rPr>
          <w:rFonts w:ascii="Titillium Web" w:hAnsi="Titillium Web"/>
          <w:sz w:val="20"/>
          <w:szCs w:val="20"/>
        </w:rPr>
      </w:pPr>
      <w:r w:rsidRPr="00A74906">
        <w:rPr>
          <w:rFonts w:ascii="Titillium Web" w:eastAsia="Times New Roman" w:hAnsi="Titillium Web" w:cs="Times New Roman"/>
          <w:color w:val="333333"/>
          <w:sz w:val="20"/>
          <w:szCs w:val="20"/>
          <w:lang w:eastAsia="it-IT"/>
        </w:rPr>
        <w:lastRenderedPageBreak/>
        <w:t> </w:t>
      </w:r>
    </w:p>
    <w:p w14:paraId="5D3B7AB6" w14:textId="4DDF7EFE" w:rsidR="008023BB" w:rsidRPr="00A74906" w:rsidRDefault="008023BB" w:rsidP="00BF3C33">
      <w:pPr>
        <w:pBdr>
          <w:top w:val="single" w:sz="4" w:space="1" w:color="auto"/>
          <w:left w:val="single" w:sz="4" w:space="4" w:color="auto"/>
          <w:bottom w:val="single" w:sz="4" w:space="1" w:color="auto"/>
          <w:right w:val="single" w:sz="4" w:space="4" w:color="auto"/>
        </w:pBdr>
        <w:shd w:val="clear" w:color="auto" w:fill="2F5496" w:themeFill="accent1" w:themeFillShade="BF"/>
        <w:spacing w:after="0" w:line="360" w:lineRule="auto"/>
        <w:contextualSpacing/>
        <w:jc w:val="both"/>
        <w:rPr>
          <w:rFonts w:ascii="Titillium Web" w:eastAsia="Times New Roman" w:hAnsi="Titillium Web" w:cs="Times New Roman"/>
          <w:b/>
          <w:bCs/>
          <w:color w:val="FFFFFF" w:themeColor="background1"/>
          <w:sz w:val="20"/>
          <w:szCs w:val="20"/>
          <w:lang w:eastAsia="it-IT"/>
        </w:rPr>
      </w:pPr>
      <w:r w:rsidRPr="00A74906">
        <w:rPr>
          <w:rFonts w:ascii="Titillium Web" w:eastAsia="Times New Roman" w:hAnsi="Titillium Web" w:cs="Times New Roman"/>
          <w:b/>
          <w:bCs/>
          <w:color w:val="FFFFFF" w:themeColor="background1"/>
          <w:sz w:val="20"/>
          <w:szCs w:val="20"/>
          <w:lang w:eastAsia="it-IT"/>
        </w:rPr>
        <w:t>COME PARTECIPARE</w:t>
      </w:r>
    </w:p>
    <w:p w14:paraId="63321FBA" w14:textId="61210184" w:rsidR="00922495" w:rsidRPr="00A74906" w:rsidRDefault="00922495" w:rsidP="00BF3C33">
      <w:pPr>
        <w:numPr>
          <w:ilvl w:val="0"/>
          <w:numId w:val="4"/>
        </w:numPr>
        <w:spacing w:after="0" w:line="360" w:lineRule="auto"/>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 xml:space="preserve">La domanda di </w:t>
      </w:r>
      <w:r w:rsidR="001C4DE2">
        <w:rPr>
          <w:rFonts w:ascii="Titillium Web" w:eastAsia="Times New Roman" w:hAnsi="Titillium Web" w:cs="Times New Roman"/>
          <w:color w:val="333333"/>
          <w:sz w:val="20"/>
          <w:szCs w:val="20"/>
          <w:lang w:eastAsia="it-IT"/>
        </w:rPr>
        <w:t>iscrizione</w:t>
      </w:r>
      <w:r w:rsidR="001C4DE2" w:rsidRPr="00A74906">
        <w:rPr>
          <w:rFonts w:ascii="Titillium Web" w:eastAsia="Times New Roman" w:hAnsi="Titillium Web" w:cs="Times New Roman"/>
          <w:color w:val="333333"/>
          <w:sz w:val="20"/>
          <w:szCs w:val="20"/>
          <w:lang w:eastAsia="it-IT"/>
        </w:rPr>
        <w:t xml:space="preserve"> </w:t>
      </w:r>
      <w:r w:rsidR="0039204D">
        <w:rPr>
          <w:rFonts w:ascii="Titillium Web" w:eastAsia="Times New Roman" w:hAnsi="Titillium Web" w:cs="Times New Roman"/>
          <w:color w:val="333333"/>
          <w:sz w:val="20"/>
          <w:szCs w:val="20"/>
          <w:lang w:eastAsia="it-IT"/>
        </w:rPr>
        <w:t>al</w:t>
      </w:r>
      <w:r w:rsidR="001C4DE2">
        <w:rPr>
          <w:rFonts w:ascii="Titillium Web" w:eastAsia="Times New Roman" w:hAnsi="Titillium Web" w:cs="Times New Roman"/>
          <w:color w:val="333333"/>
          <w:sz w:val="20"/>
          <w:szCs w:val="20"/>
          <w:lang w:eastAsia="it-IT"/>
        </w:rPr>
        <w:t xml:space="preserve">l’elenco </w:t>
      </w:r>
      <w:r w:rsidRPr="00A74906">
        <w:rPr>
          <w:rFonts w:ascii="Titillium Web" w:eastAsia="Times New Roman" w:hAnsi="Titillium Web" w:cs="Times New Roman"/>
          <w:color w:val="333333"/>
          <w:sz w:val="20"/>
          <w:szCs w:val="20"/>
          <w:lang w:eastAsia="it-IT"/>
        </w:rPr>
        <w:t xml:space="preserve">può essere presentata, a </w:t>
      </w:r>
      <w:r w:rsidRPr="00BF3C33">
        <w:rPr>
          <w:rFonts w:ascii="Titillium Web" w:eastAsia="Times New Roman" w:hAnsi="Titillium Web" w:cs="Times New Roman"/>
          <w:color w:val="333333"/>
          <w:sz w:val="20"/>
          <w:szCs w:val="20"/>
          <w:lang w:eastAsia="it-IT"/>
        </w:rPr>
        <w:t>partire dalle ore 10:00 del </w:t>
      </w:r>
      <w:r w:rsidR="00BF3C33" w:rsidRPr="00BF3C33">
        <w:rPr>
          <w:rFonts w:ascii="Titillium Web" w:eastAsia="Times New Roman" w:hAnsi="Titillium Web" w:cs="Times New Roman"/>
          <w:b/>
          <w:bCs/>
          <w:color w:val="333333"/>
          <w:sz w:val="20"/>
          <w:szCs w:val="20"/>
          <w:lang w:eastAsia="it-IT"/>
        </w:rPr>
        <w:t>06</w:t>
      </w:r>
      <w:r w:rsidRPr="00BF3C33">
        <w:rPr>
          <w:rFonts w:ascii="Titillium Web" w:eastAsia="Times New Roman" w:hAnsi="Titillium Web" w:cs="Times New Roman"/>
          <w:b/>
          <w:bCs/>
          <w:color w:val="333333"/>
          <w:sz w:val="20"/>
          <w:szCs w:val="20"/>
          <w:lang w:eastAsia="it-IT"/>
        </w:rPr>
        <w:t>/</w:t>
      </w:r>
      <w:r w:rsidR="00BF3C33" w:rsidRPr="00BF3C33">
        <w:rPr>
          <w:rFonts w:ascii="Titillium Web" w:eastAsia="Times New Roman" w:hAnsi="Titillium Web" w:cs="Times New Roman"/>
          <w:b/>
          <w:bCs/>
          <w:color w:val="333333"/>
          <w:sz w:val="20"/>
          <w:szCs w:val="20"/>
          <w:lang w:eastAsia="it-IT"/>
        </w:rPr>
        <w:t>12</w:t>
      </w:r>
      <w:r w:rsidRPr="00BF3C33">
        <w:rPr>
          <w:rFonts w:ascii="Titillium Web" w:eastAsia="Times New Roman" w:hAnsi="Titillium Web" w:cs="Times New Roman"/>
          <w:b/>
          <w:bCs/>
          <w:color w:val="333333"/>
          <w:sz w:val="20"/>
          <w:szCs w:val="20"/>
          <w:lang w:eastAsia="it-IT"/>
        </w:rPr>
        <w:t>/2022</w:t>
      </w:r>
      <w:r w:rsidRPr="00BF3C33">
        <w:rPr>
          <w:rFonts w:ascii="Titillium Web" w:eastAsia="Times New Roman" w:hAnsi="Titillium Web" w:cs="Times New Roman"/>
          <w:color w:val="333333"/>
          <w:sz w:val="20"/>
          <w:szCs w:val="20"/>
          <w:lang w:eastAsia="it-IT"/>
        </w:rPr>
        <w:t> ed entro e non oltre le ore 16:00 del </w:t>
      </w:r>
      <w:r w:rsidR="005366B5" w:rsidRPr="00BF3C33">
        <w:rPr>
          <w:rFonts w:ascii="Titillium Web" w:eastAsia="Times New Roman" w:hAnsi="Titillium Web" w:cs="Times New Roman"/>
          <w:b/>
          <w:bCs/>
          <w:color w:val="333333"/>
          <w:sz w:val="20"/>
          <w:szCs w:val="20"/>
          <w:lang w:eastAsia="it-IT"/>
        </w:rPr>
        <w:t>30/6/</w:t>
      </w:r>
      <w:r w:rsidRPr="00BF3C33">
        <w:rPr>
          <w:rFonts w:ascii="Titillium Web" w:eastAsia="Times New Roman" w:hAnsi="Titillium Web" w:cs="Times New Roman"/>
          <w:b/>
          <w:bCs/>
          <w:color w:val="333333"/>
          <w:sz w:val="20"/>
          <w:szCs w:val="20"/>
          <w:lang w:eastAsia="it-IT"/>
        </w:rPr>
        <w:t>202</w:t>
      </w:r>
      <w:r w:rsidR="005366B5" w:rsidRPr="00BF3C33">
        <w:rPr>
          <w:rFonts w:ascii="Titillium Web" w:eastAsia="Times New Roman" w:hAnsi="Titillium Web" w:cs="Times New Roman"/>
          <w:b/>
          <w:bCs/>
          <w:color w:val="333333"/>
          <w:sz w:val="20"/>
          <w:szCs w:val="20"/>
          <w:lang w:eastAsia="it-IT"/>
        </w:rPr>
        <w:t>3</w:t>
      </w:r>
      <w:r w:rsidRPr="00BF3C33">
        <w:rPr>
          <w:rFonts w:ascii="Titillium Web" w:eastAsia="Times New Roman" w:hAnsi="Titillium Web" w:cs="Times New Roman"/>
          <w:color w:val="333333"/>
          <w:sz w:val="20"/>
          <w:szCs w:val="20"/>
          <w:lang w:eastAsia="it-IT"/>
        </w:rPr>
        <w:t>, esclusivamente online, attraverso</w:t>
      </w:r>
      <w:r w:rsidRPr="00A74906">
        <w:rPr>
          <w:rFonts w:ascii="Titillium Web" w:eastAsia="Times New Roman" w:hAnsi="Titillium Web" w:cs="Times New Roman"/>
          <w:color w:val="333333"/>
          <w:sz w:val="20"/>
          <w:szCs w:val="20"/>
          <w:lang w:eastAsia="it-IT"/>
        </w:rPr>
        <w:t xml:space="preserve"> il sistema informativo di Regione Lombardia dedicato ai bandi </w:t>
      </w:r>
      <w:hyperlink r:id="rId7" w:history="1">
        <w:r w:rsidRPr="00A74906">
          <w:rPr>
            <w:rFonts w:ascii="Titillium Web" w:eastAsia="Times New Roman" w:hAnsi="Titillium Web" w:cs="Times New Roman"/>
            <w:color w:val="297A38"/>
            <w:sz w:val="20"/>
            <w:szCs w:val="20"/>
            <w:u w:val="single"/>
            <w:lang w:eastAsia="it-IT"/>
          </w:rPr>
          <w:t>www.bandi.regione.lombardia.it</w:t>
        </w:r>
      </w:hyperlink>
      <w:r w:rsidRPr="00A74906">
        <w:rPr>
          <w:rFonts w:ascii="Titillium Web" w:eastAsia="Times New Roman" w:hAnsi="Titillium Web" w:cs="Times New Roman"/>
          <w:color w:val="333333"/>
          <w:sz w:val="20"/>
          <w:szCs w:val="20"/>
          <w:lang w:eastAsia="it-IT"/>
        </w:rPr>
        <w:t> per accedere al quale occorre registrarsi e autenticarsi:</w:t>
      </w:r>
    </w:p>
    <w:p w14:paraId="14F808B3" w14:textId="77777777" w:rsidR="00922495" w:rsidRPr="006A21BC" w:rsidRDefault="00922495" w:rsidP="00BF3C33">
      <w:pPr>
        <w:numPr>
          <w:ilvl w:val="1"/>
          <w:numId w:val="4"/>
        </w:numPr>
        <w:spacing w:after="0" w:line="360" w:lineRule="auto"/>
        <w:contextualSpacing/>
        <w:jc w:val="both"/>
        <w:rPr>
          <w:rFonts w:ascii="Titillium Web" w:eastAsia="Times New Roman" w:hAnsi="Titillium Web" w:cs="Times New Roman"/>
          <w:color w:val="333333"/>
          <w:sz w:val="20"/>
          <w:szCs w:val="20"/>
          <w:lang w:eastAsia="it-IT"/>
        </w:rPr>
      </w:pPr>
      <w:r w:rsidRPr="006A21BC">
        <w:rPr>
          <w:rFonts w:ascii="Titillium Web" w:eastAsia="Times New Roman" w:hAnsi="Titillium Web" w:cs="Times New Roman"/>
          <w:color w:val="333333"/>
          <w:sz w:val="20"/>
          <w:szCs w:val="20"/>
          <w:lang w:eastAsia="it-IT"/>
        </w:rPr>
        <w:t>per i cittadini italiani sia residenti in Italia che all’estero, e per i soggetti stranieri residenti in Italia iscritti al servizio sanitario nazionale:</w:t>
      </w:r>
    </w:p>
    <w:p w14:paraId="0A72849C" w14:textId="77777777" w:rsidR="00922495" w:rsidRPr="00A74906" w:rsidRDefault="00922495" w:rsidP="00BF3C33">
      <w:pPr>
        <w:numPr>
          <w:ilvl w:val="1"/>
          <w:numId w:val="5"/>
        </w:numPr>
        <w:spacing w:after="0" w:line="360" w:lineRule="auto"/>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con il PIN della tessera sanitaria </w:t>
      </w:r>
      <w:r w:rsidRPr="00A74906">
        <w:rPr>
          <w:rFonts w:ascii="Titillium Web" w:eastAsia="Times New Roman" w:hAnsi="Titillium Web" w:cs="Times New Roman"/>
          <w:b/>
          <w:bCs/>
          <w:color w:val="333333"/>
          <w:sz w:val="20"/>
          <w:szCs w:val="20"/>
          <w:lang w:eastAsia="it-IT"/>
        </w:rPr>
        <w:t>CNS</w:t>
      </w:r>
      <w:r w:rsidRPr="00A74906">
        <w:rPr>
          <w:rFonts w:ascii="Titillium Web" w:eastAsia="Times New Roman" w:hAnsi="Titillium Web" w:cs="Times New Roman"/>
          <w:color w:val="333333"/>
          <w:sz w:val="20"/>
          <w:szCs w:val="20"/>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66561662" w14:textId="77777777" w:rsidR="00922495" w:rsidRPr="00A74906" w:rsidRDefault="00922495" w:rsidP="00BF3C33">
      <w:pPr>
        <w:numPr>
          <w:ilvl w:val="1"/>
          <w:numId w:val="5"/>
        </w:numPr>
        <w:spacing w:after="0" w:line="360" w:lineRule="auto"/>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con lo </w:t>
      </w:r>
      <w:r w:rsidRPr="00A74906">
        <w:rPr>
          <w:rFonts w:ascii="Titillium Web" w:eastAsia="Times New Roman" w:hAnsi="Titillium Web" w:cs="Times New Roman"/>
          <w:b/>
          <w:bCs/>
          <w:color w:val="333333"/>
          <w:sz w:val="20"/>
          <w:szCs w:val="20"/>
          <w:lang w:eastAsia="it-IT"/>
        </w:rPr>
        <w:t>SPID</w:t>
      </w:r>
      <w:r w:rsidRPr="00A74906">
        <w:rPr>
          <w:rFonts w:ascii="Titillium Web" w:eastAsia="Times New Roman" w:hAnsi="Titillium Web" w:cs="Times New Roman"/>
          <w:color w:val="333333"/>
          <w:sz w:val="20"/>
          <w:szCs w:val="20"/>
          <w:lang w:eastAsia="it-IT"/>
        </w:rPr>
        <w:t> (Sistema Pubblico di Identità Digitale </w:t>
      </w:r>
      <w:hyperlink r:id="rId8" w:history="1">
        <w:r w:rsidRPr="00A74906">
          <w:rPr>
            <w:rFonts w:ascii="Titillium Web" w:eastAsia="Times New Roman" w:hAnsi="Titillium Web" w:cs="Times New Roman"/>
            <w:color w:val="297A38"/>
            <w:sz w:val="20"/>
            <w:szCs w:val="20"/>
            <w:u w:val="single"/>
            <w:lang w:eastAsia="it-IT"/>
          </w:rPr>
          <w:t>https://www.spid.gov.it/</w:t>
        </w:r>
      </w:hyperlink>
      <w:r w:rsidRPr="00A74906">
        <w:rPr>
          <w:rFonts w:ascii="Titillium Web" w:eastAsia="Times New Roman" w:hAnsi="Titillium Web" w:cs="Times New Roman"/>
          <w:color w:val="333333"/>
          <w:sz w:val="20"/>
          <w:szCs w:val="20"/>
          <w:lang w:eastAsia="it-IT"/>
        </w:rPr>
        <w:t>).</w:t>
      </w:r>
    </w:p>
    <w:p w14:paraId="0FA592E8" w14:textId="77777777" w:rsidR="00922495" w:rsidRPr="00A74906" w:rsidRDefault="00922495" w:rsidP="00BF3C33">
      <w:pPr>
        <w:spacing w:after="0" w:line="360" w:lineRule="auto"/>
        <w:ind w:left="720"/>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Le modalità di attribuzione dello SPID per ciascun Identity Provider sono comunque immediatamente visibili sul sito: </w:t>
      </w:r>
      <w:hyperlink r:id="rId9" w:history="1">
        <w:r w:rsidRPr="00A74906">
          <w:rPr>
            <w:rFonts w:ascii="Titillium Web" w:eastAsia="Times New Roman" w:hAnsi="Titillium Web" w:cs="Times New Roman"/>
            <w:color w:val="297A38"/>
            <w:sz w:val="20"/>
            <w:szCs w:val="20"/>
            <w:u w:val="single"/>
            <w:lang w:eastAsia="it-IT"/>
          </w:rPr>
          <w:t>https://www.spid.gov.it/richiedi-spid</w:t>
        </w:r>
      </w:hyperlink>
      <w:r w:rsidRPr="00A74906">
        <w:rPr>
          <w:rFonts w:ascii="Titillium Web" w:eastAsia="Times New Roman" w:hAnsi="Titillium Web" w:cs="Times New Roman"/>
          <w:color w:val="333333"/>
          <w:sz w:val="20"/>
          <w:szCs w:val="20"/>
          <w:lang w:eastAsia="it-IT"/>
        </w:rPr>
        <w:t> e, con specifico riferimento agli italiani all’estero, si consiglia di visitare il link </w:t>
      </w:r>
      <w:hyperlink r:id="rId10" w:history="1">
        <w:r w:rsidRPr="00A74906">
          <w:rPr>
            <w:rFonts w:ascii="Titillium Web" w:eastAsia="Times New Roman" w:hAnsi="Titillium Web" w:cs="Times New Roman"/>
            <w:color w:val="297A38"/>
            <w:sz w:val="20"/>
            <w:szCs w:val="20"/>
            <w:u w:val="single"/>
            <w:lang w:eastAsia="it-IT"/>
          </w:rPr>
          <w:t>https://www.spid.gov.it/domande-frequenti</w:t>
        </w:r>
      </w:hyperlink>
      <w:r w:rsidRPr="00A74906">
        <w:rPr>
          <w:rFonts w:ascii="Titillium Web" w:eastAsia="Times New Roman" w:hAnsi="Titillium Web" w:cs="Times New Roman"/>
          <w:color w:val="333333"/>
          <w:sz w:val="20"/>
          <w:szCs w:val="20"/>
          <w:lang w:eastAsia="it-IT"/>
        </w:rPr>
        <w:t> (“</w:t>
      </w:r>
      <w:r w:rsidRPr="00A74906">
        <w:rPr>
          <w:rFonts w:ascii="Titillium Web" w:eastAsia="Times New Roman" w:hAnsi="Titillium Web" w:cs="Times New Roman"/>
          <w:i/>
          <w:iCs/>
          <w:color w:val="333333"/>
          <w:sz w:val="20"/>
          <w:szCs w:val="20"/>
          <w:lang w:eastAsia="it-IT"/>
        </w:rPr>
        <w:t>Può avere SPID anche un cittadino italiano residente all’estero?</w:t>
      </w:r>
      <w:r w:rsidRPr="00A74906">
        <w:rPr>
          <w:rFonts w:ascii="Titillium Web" w:eastAsia="Times New Roman" w:hAnsi="Titillium Web" w:cs="Times New Roman"/>
          <w:color w:val="333333"/>
          <w:sz w:val="20"/>
          <w:szCs w:val="20"/>
          <w:lang w:eastAsia="it-IT"/>
        </w:rPr>
        <w:t>”)</w:t>
      </w:r>
    </w:p>
    <w:p w14:paraId="5E0197EF" w14:textId="65F5DB1F" w:rsidR="00922495" w:rsidRPr="007A1DC1" w:rsidRDefault="002C4B4C" w:rsidP="00BF3C33">
      <w:pPr>
        <w:spacing w:after="0" w:line="360" w:lineRule="auto"/>
        <w:ind w:left="720"/>
        <w:contextualSpacing/>
        <w:jc w:val="both"/>
        <w:rPr>
          <w:rFonts w:ascii="Titillium Web" w:eastAsia="Times New Roman" w:hAnsi="Titillium Web" w:cs="Times New Roman"/>
          <w:sz w:val="20"/>
          <w:szCs w:val="20"/>
          <w:lang w:eastAsia="it-IT"/>
        </w:rPr>
      </w:pPr>
      <w:r w:rsidRPr="007A1DC1">
        <w:rPr>
          <w:rFonts w:ascii="Titillium Web" w:eastAsia="Times New Roman" w:hAnsi="Titillium Web" w:cs="Times New Roman"/>
          <w:sz w:val="20"/>
          <w:szCs w:val="20"/>
          <w:lang w:eastAsia="it-IT"/>
        </w:rPr>
        <w:t>A valle della registrazione al servizio Bandi Online occ</w:t>
      </w:r>
      <w:r w:rsidR="002213F2" w:rsidRPr="007A1DC1">
        <w:rPr>
          <w:rFonts w:ascii="Titillium Web" w:eastAsia="Times New Roman" w:hAnsi="Titillium Web" w:cs="Times New Roman"/>
          <w:sz w:val="20"/>
          <w:szCs w:val="20"/>
          <w:lang w:eastAsia="it-IT"/>
        </w:rPr>
        <w:t>orrerà</w:t>
      </w:r>
      <w:r w:rsidR="009328C0" w:rsidRPr="007A1DC1">
        <w:rPr>
          <w:rFonts w:ascii="Titillium Web" w:eastAsia="Times New Roman" w:hAnsi="Titillium Web" w:cs="Times New Roman"/>
          <w:sz w:val="20"/>
          <w:szCs w:val="20"/>
          <w:lang w:eastAsia="it-IT"/>
        </w:rPr>
        <w:t>, tramite il profilo “Cittadino”, cercare la casella relativa alla procedura d’iscrizione all’elenco:</w:t>
      </w:r>
      <w:r w:rsidR="002213F2" w:rsidRPr="007A1DC1">
        <w:rPr>
          <w:rFonts w:ascii="Titillium Web" w:eastAsia="Times New Roman" w:hAnsi="Titillium Web" w:cs="Times New Roman"/>
          <w:sz w:val="20"/>
          <w:szCs w:val="20"/>
          <w:lang w:eastAsia="it-IT"/>
        </w:rPr>
        <w:t xml:space="preserve"> selezionare il tab “Bandi”; inserire all’interno della barra di ricerca il titolo della procedura oggetto d’interesse: “Elenco candidati collegio consultivo tecnico”; cliccare su “invio” o sulla </w:t>
      </w:r>
      <w:proofErr w:type="spellStart"/>
      <w:r w:rsidR="002213F2" w:rsidRPr="007A1DC1">
        <w:rPr>
          <w:rFonts w:ascii="Titillium Web" w:eastAsia="Times New Roman" w:hAnsi="Titillium Web" w:cs="Times New Roman"/>
          <w:sz w:val="20"/>
          <w:szCs w:val="20"/>
          <w:lang w:eastAsia="it-IT"/>
        </w:rPr>
        <w:t>lentina</w:t>
      </w:r>
      <w:proofErr w:type="spellEnd"/>
      <w:r w:rsidR="002213F2" w:rsidRPr="007A1DC1">
        <w:rPr>
          <w:rFonts w:ascii="Titillium Web" w:eastAsia="Times New Roman" w:hAnsi="Titillium Web" w:cs="Times New Roman"/>
          <w:sz w:val="20"/>
          <w:szCs w:val="20"/>
          <w:lang w:eastAsia="it-IT"/>
        </w:rPr>
        <w:t xml:space="preserve"> d’ingrandimento alla destra della barra</w:t>
      </w:r>
      <w:r w:rsidR="009328C0" w:rsidRPr="007A1DC1">
        <w:rPr>
          <w:rFonts w:ascii="Titillium Web" w:eastAsia="Times New Roman" w:hAnsi="Titillium Web" w:cs="Times New Roman"/>
          <w:sz w:val="20"/>
          <w:szCs w:val="20"/>
          <w:lang w:eastAsia="it-IT"/>
        </w:rPr>
        <w:t xml:space="preserve"> per perfezionare la ricerca</w:t>
      </w:r>
      <w:r w:rsidR="002213F2" w:rsidRPr="007A1DC1">
        <w:rPr>
          <w:rFonts w:ascii="Titillium Web" w:eastAsia="Times New Roman" w:hAnsi="Titillium Web" w:cs="Times New Roman"/>
          <w:sz w:val="20"/>
          <w:szCs w:val="20"/>
          <w:lang w:eastAsia="it-IT"/>
        </w:rPr>
        <w:t>;</w:t>
      </w:r>
      <w:r w:rsidR="009328C0" w:rsidRPr="007A1DC1">
        <w:rPr>
          <w:rFonts w:ascii="Titillium Web" w:eastAsia="Times New Roman" w:hAnsi="Titillium Web" w:cs="Times New Roman"/>
          <w:sz w:val="20"/>
          <w:szCs w:val="20"/>
          <w:lang w:eastAsia="it-IT"/>
        </w:rPr>
        <w:t xml:space="preserve"> infine</w:t>
      </w:r>
      <w:r w:rsidR="002213F2" w:rsidRPr="007A1DC1">
        <w:rPr>
          <w:rFonts w:ascii="Titillium Web" w:eastAsia="Times New Roman" w:hAnsi="Titillium Web" w:cs="Times New Roman"/>
          <w:sz w:val="20"/>
          <w:szCs w:val="20"/>
          <w:lang w:eastAsia="it-IT"/>
        </w:rPr>
        <w:t xml:space="preserve"> cliccare sul pulsante “fai domanda” </w:t>
      </w:r>
      <w:r w:rsidR="009328C0" w:rsidRPr="007A1DC1">
        <w:rPr>
          <w:rFonts w:ascii="Titillium Web" w:eastAsia="Times New Roman" w:hAnsi="Titillium Web" w:cs="Times New Roman"/>
          <w:sz w:val="20"/>
          <w:szCs w:val="20"/>
          <w:lang w:eastAsia="it-IT"/>
        </w:rPr>
        <w:t>all’interno de</w:t>
      </w:r>
      <w:r w:rsidR="002213F2" w:rsidRPr="007A1DC1">
        <w:rPr>
          <w:rFonts w:ascii="Titillium Web" w:eastAsia="Times New Roman" w:hAnsi="Titillium Web" w:cs="Times New Roman"/>
          <w:sz w:val="20"/>
          <w:szCs w:val="20"/>
          <w:lang w:eastAsia="it-IT"/>
        </w:rPr>
        <w:t>lla casella. Compilare la pratica e concludere con la sua protocollazione.</w:t>
      </w:r>
    </w:p>
    <w:p w14:paraId="34B7107C" w14:textId="09621E98" w:rsidR="00922495" w:rsidRPr="00A74906" w:rsidRDefault="00922495" w:rsidP="00BF3C33">
      <w:pPr>
        <w:numPr>
          <w:ilvl w:val="1"/>
          <w:numId w:val="6"/>
        </w:numPr>
        <w:spacing w:after="0" w:line="360" w:lineRule="auto"/>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 xml:space="preserve">per i SOLI candidati appartenenti a paesi membri dell’Unione europea di cittadinanza non italiana, che non hanno la residenza in Italia, tramite registrazione e autenticazione al sistema informativo sopra citato con username e password. La domanda di </w:t>
      </w:r>
      <w:r w:rsidR="001C4DE2">
        <w:rPr>
          <w:rFonts w:ascii="Titillium Web" w:eastAsia="Times New Roman" w:hAnsi="Titillium Web" w:cs="Times New Roman"/>
          <w:color w:val="333333"/>
          <w:sz w:val="20"/>
          <w:szCs w:val="20"/>
          <w:lang w:eastAsia="it-IT"/>
        </w:rPr>
        <w:t>iscrizione</w:t>
      </w:r>
      <w:r w:rsidR="001C4DE2" w:rsidRPr="00A74906">
        <w:rPr>
          <w:rFonts w:ascii="Titillium Web" w:eastAsia="Times New Roman" w:hAnsi="Titillium Web" w:cs="Times New Roman"/>
          <w:color w:val="333333"/>
          <w:sz w:val="20"/>
          <w:szCs w:val="20"/>
          <w:lang w:eastAsia="it-IT"/>
        </w:rPr>
        <w:t xml:space="preserve"> </w:t>
      </w:r>
      <w:r w:rsidR="00161C58">
        <w:rPr>
          <w:rFonts w:ascii="Titillium Web" w:eastAsia="Times New Roman" w:hAnsi="Titillium Web" w:cs="Times New Roman"/>
          <w:color w:val="333333"/>
          <w:sz w:val="20"/>
          <w:szCs w:val="20"/>
          <w:lang w:eastAsia="it-IT"/>
        </w:rPr>
        <w:t xml:space="preserve">all’Elenco </w:t>
      </w:r>
      <w:r w:rsidRPr="00A74906">
        <w:rPr>
          <w:rFonts w:ascii="Titillium Web" w:eastAsia="Times New Roman" w:hAnsi="Titillium Web" w:cs="Times New Roman"/>
          <w:color w:val="333333"/>
          <w:sz w:val="20"/>
          <w:szCs w:val="20"/>
          <w:lang w:eastAsia="it-IT"/>
        </w:rPr>
        <w:t>dovrà essere corredata da:</w:t>
      </w:r>
    </w:p>
    <w:p w14:paraId="6E00312C" w14:textId="77777777" w:rsidR="00922495" w:rsidRPr="002C4B4C" w:rsidRDefault="00922495" w:rsidP="00BF3C33">
      <w:pPr>
        <w:numPr>
          <w:ilvl w:val="1"/>
          <w:numId w:val="6"/>
        </w:numPr>
        <w:spacing w:after="0" w:line="360" w:lineRule="auto"/>
        <w:contextualSpacing/>
        <w:jc w:val="both"/>
        <w:rPr>
          <w:rFonts w:ascii="Titillium Web" w:eastAsia="Times New Roman" w:hAnsi="Titillium Web" w:cs="Times New Roman"/>
          <w:color w:val="333333"/>
          <w:sz w:val="20"/>
          <w:szCs w:val="20"/>
          <w:lang w:eastAsia="it-IT"/>
        </w:rPr>
      </w:pPr>
      <w:r w:rsidRPr="002C4B4C">
        <w:rPr>
          <w:rFonts w:ascii="Titillium Web" w:eastAsia="Times New Roman" w:hAnsi="Titillium Web" w:cs="Times New Roman"/>
          <w:color w:val="333333"/>
          <w:sz w:val="20"/>
          <w:szCs w:val="20"/>
          <w:lang w:eastAsia="it-IT"/>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186B53CE" w14:textId="4AC92CCC" w:rsidR="00922495" w:rsidRPr="00A74906" w:rsidRDefault="00922495" w:rsidP="00BF3C33">
      <w:pPr>
        <w:numPr>
          <w:ilvl w:val="1"/>
          <w:numId w:val="6"/>
        </w:numPr>
        <w:spacing w:after="0" w:line="360" w:lineRule="auto"/>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curriculum vitae in lingua italiana</w:t>
      </w:r>
      <w:r w:rsidR="00323222">
        <w:rPr>
          <w:rFonts w:ascii="Titillium Web" w:eastAsia="Times New Roman" w:hAnsi="Titillium Web" w:cs="Times New Roman"/>
          <w:color w:val="333333"/>
          <w:sz w:val="20"/>
          <w:szCs w:val="20"/>
          <w:lang w:eastAsia="it-IT"/>
        </w:rPr>
        <w:t xml:space="preserve"> sottoscritto digitalmente</w:t>
      </w:r>
      <w:r w:rsidR="00430747">
        <w:rPr>
          <w:rFonts w:ascii="Titillium Web" w:eastAsia="Times New Roman" w:hAnsi="Titillium Web" w:cs="Times New Roman"/>
          <w:color w:val="333333"/>
          <w:sz w:val="20"/>
          <w:szCs w:val="20"/>
          <w:lang w:eastAsia="it-IT"/>
        </w:rPr>
        <w:t>, da cui si evincano i requisiti professionali di cui al paragrafo chi può partecipare” lettere a), b) o c)</w:t>
      </w:r>
      <w:r w:rsidRPr="00A74906">
        <w:rPr>
          <w:rFonts w:ascii="Titillium Web" w:eastAsia="Times New Roman" w:hAnsi="Titillium Web" w:cs="Times New Roman"/>
          <w:color w:val="333333"/>
          <w:sz w:val="20"/>
          <w:szCs w:val="20"/>
          <w:lang w:eastAsia="it-IT"/>
        </w:rPr>
        <w:t>;</w:t>
      </w:r>
    </w:p>
    <w:p w14:paraId="687AD230" w14:textId="66A20CBE" w:rsidR="00922495" w:rsidRPr="002C4B4C" w:rsidRDefault="001C4DE2" w:rsidP="00BF3C33">
      <w:pPr>
        <w:numPr>
          <w:ilvl w:val="1"/>
          <w:numId w:val="6"/>
        </w:numPr>
        <w:spacing w:after="0" w:line="360" w:lineRule="auto"/>
        <w:contextualSpacing/>
        <w:jc w:val="both"/>
        <w:rPr>
          <w:rFonts w:ascii="Titillium Web" w:eastAsia="Times New Roman" w:hAnsi="Titillium Web" w:cs="Times New Roman"/>
          <w:color w:val="333333"/>
          <w:sz w:val="20"/>
          <w:szCs w:val="20"/>
          <w:lang w:eastAsia="it-IT"/>
        </w:rPr>
      </w:pPr>
      <w:r w:rsidRPr="002C4B4C">
        <w:rPr>
          <w:rFonts w:ascii="Titillium Web" w:eastAsia="Times New Roman" w:hAnsi="Titillium Web" w:cs="Times New Roman"/>
          <w:color w:val="333333"/>
          <w:sz w:val="20"/>
          <w:szCs w:val="20"/>
          <w:lang w:eastAsia="it-IT"/>
        </w:rPr>
        <w:lastRenderedPageBreak/>
        <w:t xml:space="preserve">(nel caso di  candidati appartenenti a paesi membri dell’Unione europea di cittadinanza non italiana)  </w:t>
      </w:r>
      <w:r w:rsidR="00922495" w:rsidRPr="002C4B4C">
        <w:rPr>
          <w:rFonts w:ascii="Titillium Web" w:eastAsia="Times New Roman" w:hAnsi="Titillium Web" w:cs="Times New Roman"/>
          <w:color w:val="333333"/>
          <w:sz w:val="20"/>
          <w:szCs w:val="20"/>
          <w:lang w:eastAsia="it-IT"/>
        </w:rPr>
        <w:t xml:space="preserve">attestato </w:t>
      </w:r>
      <w:r w:rsidR="004F54D7" w:rsidRPr="002C4B4C">
        <w:rPr>
          <w:rFonts w:ascii="Titillium Web" w:eastAsia="Times New Roman" w:hAnsi="Titillium Web" w:cs="Times New Roman"/>
          <w:color w:val="333333"/>
          <w:sz w:val="20"/>
          <w:szCs w:val="20"/>
          <w:lang w:eastAsia="it-IT"/>
        </w:rPr>
        <w:t>di parificazione dell’iscrizione all’albo professionale di competenza</w:t>
      </w:r>
      <w:r w:rsidR="00922495" w:rsidRPr="002C4B4C">
        <w:rPr>
          <w:rFonts w:ascii="Titillium Web" w:eastAsia="Times New Roman" w:hAnsi="Titillium Web" w:cs="Times New Roman"/>
          <w:color w:val="333333"/>
          <w:sz w:val="20"/>
          <w:szCs w:val="20"/>
          <w:lang w:eastAsia="it-IT"/>
        </w:rPr>
        <w:t>.</w:t>
      </w:r>
    </w:p>
    <w:p w14:paraId="4F017063" w14:textId="2A87B4ED" w:rsidR="00922495" w:rsidRPr="00A74906" w:rsidRDefault="00922495" w:rsidP="00BF3C33">
      <w:pPr>
        <w:spacing w:after="0" w:line="360" w:lineRule="auto"/>
        <w:ind w:left="720"/>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 xml:space="preserve">Alle dichiarazioni rese nel Curriculum vitae si riconosce valore di autocertificazione ai sensi e per gli effetti del DPR n. 445/2000 </w:t>
      </w:r>
      <w:proofErr w:type="spellStart"/>
      <w:r w:rsidRPr="00A74906">
        <w:rPr>
          <w:rFonts w:ascii="Titillium Web" w:eastAsia="Times New Roman" w:hAnsi="Titillium Web" w:cs="Times New Roman"/>
          <w:color w:val="333333"/>
          <w:sz w:val="20"/>
          <w:szCs w:val="20"/>
          <w:lang w:eastAsia="it-IT"/>
        </w:rPr>
        <w:t>s.m.i.</w:t>
      </w:r>
      <w:proofErr w:type="spellEnd"/>
      <w:r w:rsidRPr="00A74906">
        <w:rPr>
          <w:rFonts w:ascii="Titillium Web" w:eastAsia="Times New Roman" w:hAnsi="Titillium Web" w:cs="Times New Roman"/>
          <w:color w:val="333333"/>
          <w:sz w:val="20"/>
          <w:szCs w:val="20"/>
          <w:lang w:eastAsia="it-IT"/>
        </w:rPr>
        <w:t>, pertanto non è richiesto al candidato di allegare tutta la documentazione a comprova di quanto dichiarato, fermo restando che ARIA S.p.A. si riserva di richiedere tutta la documentazione inerente i requisiti dichiarati e/o di procedere alla verifica delle dichiarazioni rese e che, in caso di falsa dichiarazione, procederà a denunciare l’accaduto alle competenti autorità, con riserva di agire per il risarcimento dei danni subiti.</w:t>
      </w:r>
    </w:p>
    <w:p w14:paraId="538F7E93" w14:textId="056DB041" w:rsidR="00922495" w:rsidRPr="00A74906" w:rsidRDefault="00922495" w:rsidP="00BF3C33">
      <w:pPr>
        <w:spacing w:after="0" w:line="360" w:lineRule="auto"/>
        <w:ind w:left="720"/>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 xml:space="preserve">Tutti i dati personali trasmessi dai candidati con l’istanza di </w:t>
      </w:r>
      <w:r w:rsidR="001C4DE2">
        <w:rPr>
          <w:rFonts w:ascii="Titillium Web" w:eastAsia="Times New Roman" w:hAnsi="Titillium Web" w:cs="Times New Roman"/>
          <w:color w:val="333333"/>
          <w:sz w:val="20"/>
          <w:szCs w:val="20"/>
          <w:lang w:eastAsia="it-IT"/>
        </w:rPr>
        <w:t>iscrizione</w:t>
      </w:r>
      <w:r w:rsidR="0039204D">
        <w:rPr>
          <w:rFonts w:ascii="Titillium Web" w:eastAsia="Times New Roman" w:hAnsi="Titillium Web" w:cs="Times New Roman"/>
          <w:color w:val="333333"/>
          <w:sz w:val="20"/>
          <w:szCs w:val="20"/>
          <w:lang w:eastAsia="it-IT"/>
        </w:rPr>
        <w:t xml:space="preserve"> all’Elenco</w:t>
      </w:r>
      <w:r w:rsidRPr="00A74906">
        <w:rPr>
          <w:rFonts w:ascii="Titillium Web" w:eastAsia="Times New Roman" w:hAnsi="Titillium Web" w:cs="Times New Roman"/>
          <w:color w:val="333333"/>
          <w:sz w:val="20"/>
          <w:szCs w:val="20"/>
          <w:lang w:eastAsia="it-IT"/>
        </w:rPr>
        <w:t xml:space="preserve">, ai sensi del GDPR e del D.lgs. n. 196/2003 </w:t>
      </w:r>
      <w:proofErr w:type="spellStart"/>
      <w:r w:rsidRPr="00A74906">
        <w:rPr>
          <w:rFonts w:ascii="Titillium Web" w:eastAsia="Times New Roman" w:hAnsi="Titillium Web" w:cs="Times New Roman"/>
          <w:color w:val="333333"/>
          <w:sz w:val="20"/>
          <w:szCs w:val="20"/>
          <w:lang w:eastAsia="it-IT"/>
        </w:rPr>
        <w:t>s.m.i.</w:t>
      </w:r>
      <w:proofErr w:type="spellEnd"/>
      <w:r w:rsidRPr="00A74906">
        <w:rPr>
          <w:rFonts w:ascii="Titillium Web" w:eastAsia="Times New Roman" w:hAnsi="Titillium Web" w:cs="Times New Roman"/>
          <w:color w:val="333333"/>
          <w:sz w:val="20"/>
          <w:szCs w:val="20"/>
          <w:lang w:eastAsia="it-IT"/>
        </w:rPr>
        <w:t xml:space="preserve">, saranno trattati esclusivamente ai fini </w:t>
      </w:r>
      <w:r w:rsidR="00D25773">
        <w:rPr>
          <w:rFonts w:ascii="Titillium Web" w:eastAsia="Times New Roman" w:hAnsi="Titillium Web" w:cs="Times New Roman"/>
          <w:color w:val="333333"/>
          <w:sz w:val="20"/>
          <w:szCs w:val="20"/>
          <w:lang w:eastAsia="it-IT"/>
        </w:rPr>
        <w:t xml:space="preserve">dell’iscrizione </w:t>
      </w:r>
      <w:r w:rsidRPr="00A74906">
        <w:rPr>
          <w:rFonts w:ascii="Titillium Web" w:eastAsia="Times New Roman" w:hAnsi="Titillium Web" w:cs="Times New Roman"/>
          <w:color w:val="333333"/>
          <w:sz w:val="20"/>
          <w:szCs w:val="20"/>
          <w:lang w:eastAsia="it-IT"/>
        </w:rPr>
        <w:t xml:space="preserve"> e dell’affidamento dell’incarico presso la Società.</w:t>
      </w:r>
    </w:p>
    <w:p w14:paraId="42F7AAB0" w14:textId="55F276AE" w:rsidR="00922495" w:rsidRPr="00A74906" w:rsidRDefault="00922495" w:rsidP="00BF3C33">
      <w:pPr>
        <w:spacing w:after="0" w:line="360" w:lineRule="auto"/>
        <w:ind w:left="720"/>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 xml:space="preserve">La presentazione della domanda di </w:t>
      </w:r>
      <w:r w:rsidR="001C4DE2">
        <w:rPr>
          <w:rFonts w:ascii="Titillium Web" w:eastAsia="Times New Roman" w:hAnsi="Titillium Web" w:cs="Times New Roman"/>
          <w:color w:val="333333"/>
          <w:sz w:val="20"/>
          <w:szCs w:val="20"/>
          <w:lang w:eastAsia="it-IT"/>
        </w:rPr>
        <w:t xml:space="preserve">iscrizione </w:t>
      </w:r>
      <w:r w:rsidR="001C4DE2" w:rsidRPr="00A74906">
        <w:rPr>
          <w:rFonts w:ascii="Titillium Web" w:eastAsia="Times New Roman" w:hAnsi="Titillium Web" w:cs="Times New Roman"/>
          <w:color w:val="333333"/>
          <w:sz w:val="20"/>
          <w:szCs w:val="20"/>
          <w:lang w:eastAsia="it-IT"/>
        </w:rPr>
        <w:t xml:space="preserve"> </w:t>
      </w:r>
      <w:r w:rsidR="0039204D">
        <w:rPr>
          <w:rFonts w:ascii="Titillium Web" w:eastAsia="Times New Roman" w:hAnsi="Titillium Web" w:cs="Times New Roman"/>
          <w:color w:val="333333"/>
          <w:sz w:val="20"/>
          <w:szCs w:val="20"/>
          <w:lang w:eastAsia="it-IT"/>
        </w:rPr>
        <w:t>all’Elenco</w:t>
      </w:r>
      <w:r w:rsidRPr="00A74906">
        <w:rPr>
          <w:rFonts w:ascii="Titillium Web" w:eastAsia="Times New Roman" w:hAnsi="Titillium Web" w:cs="Times New Roman"/>
          <w:color w:val="333333"/>
          <w:sz w:val="20"/>
          <w:szCs w:val="20"/>
          <w:lang w:eastAsia="it-IT"/>
        </w:rPr>
        <w:t xml:space="preserve"> ha valenza di piena accettazione delle condizioni riportate nell'</w:t>
      </w:r>
      <w:r w:rsidR="00C15FDE">
        <w:rPr>
          <w:rFonts w:ascii="Titillium Web" w:eastAsia="Times New Roman" w:hAnsi="Titillium Web" w:cs="Times New Roman"/>
          <w:color w:val="333333"/>
          <w:sz w:val="20"/>
          <w:szCs w:val="20"/>
          <w:lang w:eastAsia="it-IT"/>
        </w:rPr>
        <w:t>Avviso</w:t>
      </w:r>
      <w:r w:rsidRPr="00A74906">
        <w:rPr>
          <w:rFonts w:ascii="Titillium Web" w:eastAsia="Times New Roman" w:hAnsi="Titillium Web" w:cs="Times New Roman"/>
          <w:color w:val="333333"/>
          <w:sz w:val="20"/>
          <w:szCs w:val="20"/>
          <w:lang w:eastAsia="it-IT"/>
        </w:rPr>
        <w:t>.</w:t>
      </w:r>
    </w:p>
    <w:p w14:paraId="5139C7FB" w14:textId="77777777" w:rsidR="008023BB" w:rsidRPr="00A74906" w:rsidRDefault="008023BB" w:rsidP="00BF3C33">
      <w:pPr>
        <w:widowControl w:val="0"/>
        <w:spacing w:after="0" w:line="360" w:lineRule="auto"/>
        <w:contextualSpacing/>
        <w:jc w:val="both"/>
        <w:rPr>
          <w:rFonts w:ascii="Titillium Web" w:hAnsi="Titillium Web"/>
          <w:sz w:val="20"/>
          <w:szCs w:val="20"/>
        </w:rPr>
      </w:pPr>
    </w:p>
    <w:p w14:paraId="0EA8A987" w14:textId="08D7703B" w:rsidR="00922495" w:rsidRPr="00A74906" w:rsidRDefault="00922495" w:rsidP="00BF3C33">
      <w:pPr>
        <w:pBdr>
          <w:top w:val="single" w:sz="4" w:space="1" w:color="auto"/>
          <w:left w:val="single" w:sz="4" w:space="4" w:color="auto"/>
          <w:bottom w:val="single" w:sz="4" w:space="1" w:color="auto"/>
          <w:right w:val="single" w:sz="4" w:space="4" w:color="auto"/>
        </w:pBdr>
        <w:shd w:val="clear" w:color="auto" w:fill="2F5496" w:themeFill="accent1" w:themeFillShade="BF"/>
        <w:spacing w:after="0" w:line="360" w:lineRule="auto"/>
        <w:contextualSpacing/>
        <w:jc w:val="both"/>
        <w:rPr>
          <w:rFonts w:ascii="Titillium Web" w:eastAsia="Times New Roman" w:hAnsi="Titillium Web" w:cs="Times New Roman"/>
          <w:b/>
          <w:bCs/>
          <w:color w:val="FFFFFF" w:themeColor="background1"/>
          <w:sz w:val="20"/>
          <w:szCs w:val="20"/>
          <w:lang w:eastAsia="it-IT"/>
        </w:rPr>
      </w:pPr>
      <w:r w:rsidRPr="00A74906">
        <w:rPr>
          <w:rFonts w:ascii="Titillium Web" w:eastAsia="Times New Roman" w:hAnsi="Titillium Web" w:cs="Times New Roman"/>
          <w:b/>
          <w:bCs/>
          <w:color w:val="FFFFFF" w:themeColor="background1"/>
          <w:sz w:val="20"/>
          <w:szCs w:val="20"/>
          <w:lang w:eastAsia="it-IT"/>
        </w:rPr>
        <w:t xml:space="preserve">PROCEDURA DI </w:t>
      </w:r>
      <w:r w:rsidR="001C0658">
        <w:rPr>
          <w:rFonts w:ascii="Titillium Web" w:eastAsia="Times New Roman" w:hAnsi="Titillium Web" w:cs="Times New Roman"/>
          <w:b/>
          <w:bCs/>
          <w:color w:val="FFFFFF" w:themeColor="background1"/>
          <w:sz w:val="20"/>
          <w:szCs w:val="20"/>
          <w:lang w:eastAsia="it-IT"/>
        </w:rPr>
        <w:t>AMMISSIONE E SELEZIONE</w:t>
      </w:r>
    </w:p>
    <w:p w14:paraId="6EDC8205" w14:textId="77777777" w:rsidR="00922495" w:rsidRPr="00A74906" w:rsidRDefault="00922495" w:rsidP="00BF3C33">
      <w:pPr>
        <w:spacing w:after="0" w:line="360" w:lineRule="auto"/>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FFFFFF"/>
          <w:sz w:val="20"/>
          <w:szCs w:val="20"/>
          <w:lang w:eastAsia="it-IT"/>
        </w:rPr>
        <w:t>Procedura selezione</w:t>
      </w:r>
    </w:p>
    <w:p w14:paraId="1C74EC89" w14:textId="2F19F05F" w:rsidR="00922495" w:rsidRPr="00C15FDE" w:rsidRDefault="001C0658" w:rsidP="00BF3C33">
      <w:pPr>
        <w:numPr>
          <w:ilvl w:val="0"/>
          <w:numId w:val="7"/>
        </w:numPr>
        <w:spacing w:after="0" w:line="360" w:lineRule="auto"/>
        <w:contextualSpacing/>
        <w:jc w:val="both"/>
        <w:rPr>
          <w:rFonts w:ascii="Titillium Web" w:eastAsia="Times New Roman" w:hAnsi="Titillium Web" w:cs="Times New Roman"/>
          <w:color w:val="333333"/>
          <w:sz w:val="20"/>
          <w:szCs w:val="20"/>
          <w:lang w:eastAsia="it-IT"/>
        </w:rPr>
      </w:pPr>
      <w:r w:rsidRPr="00C15FDE">
        <w:rPr>
          <w:rFonts w:ascii="Titillium Web" w:eastAsia="Times New Roman" w:hAnsi="Titillium Web" w:cs="Times New Roman"/>
          <w:color w:val="333333"/>
          <w:sz w:val="20"/>
          <w:szCs w:val="20"/>
          <w:lang w:eastAsia="it-IT"/>
        </w:rPr>
        <w:t xml:space="preserve">AI fini dell’inserimento </w:t>
      </w:r>
      <w:r w:rsidR="00D25773">
        <w:rPr>
          <w:rFonts w:ascii="Titillium Web" w:eastAsia="Times New Roman" w:hAnsi="Titillium Web" w:cs="Times New Roman"/>
          <w:color w:val="333333"/>
          <w:sz w:val="20"/>
          <w:szCs w:val="20"/>
          <w:lang w:eastAsia="it-IT"/>
        </w:rPr>
        <w:t>n</w:t>
      </w:r>
      <w:r w:rsidRPr="00C15FDE">
        <w:rPr>
          <w:rFonts w:ascii="Titillium Web" w:eastAsia="Times New Roman" w:hAnsi="Titillium Web" w:cs="Times New Roman"/>
          <w:color w:val="333333"/>
          <w:sz w:val="20"/>
          <w:szCs w:val="20"/>
          <w:lang w:eastAsia="it-IT"/>
        </w:rPr>
        <w:t>ell’Elenco CCT</w:t>
      </w:r>
      <w:r w:rsidR="00AD1231">
        <w:rPr>
          <w:rFonts w:ascii="Titillium Web" w:eastAsia="Times New Roman" w:hAnsi="Titillium Web" w:cs="Times New Roman"/>
          <w:color w:val="333333"/>
          <w:sz w:val="20"/>
          <w:szCs w:val="20"/>
          <w:lang w:eastAsia="it-IT"/>
        </w:rPr>
        <w:t xml:space="preserve"> delle </w:t>
      </w:r>
      <w:r w:rsidR="00922495" w:rsidRPr="00C15FDE">
        <w:rPr>
          <w:rFonts w:ascii="Titillium Web" w:eastAsia="Times New Roman" w:hAnsi="Titillium Web" w:cs="Times New Roman"/>
          <w:color w:val="333333"/>
          <w:sz w:val="20"/>
          <w:szCs w:val="20"/>
          <w:lang w:eastAsia="it-IT"/>
        </w:rPr>
        <w:t xml:space="preserve"> </w:t>
      </w:r>
      <w:r w:rsidR="00AD1231">
        <w:rPr>
          <w:rFonts w:ascii="Titillium Web" w:eastAsia="Times New Roman" w:hAnsi="Titillium Web" w:cs="Times New Roman"/>
          <w:color w:val="333333"/>
          <w:sz w:val="20"/>
          <w:szCs w:val="20"/>
          <w:lang w:eastAsia="it-IT"/>
        </w:rPr>
        <w:t>domande</w:t>
      </w:r>
      <w:r w:rsidR="00AD1231" w:rsidRPr="00C15FDE">
        <w:rPr>
          <w:rFonts w:ascii="Titillium Web" w:eastAsia="Times New Roman" w:hAnsi="Titillium Web" w:cs="Times New Roman"/>
          <w:color w:val="333333"/>
          <w:sz w:val="20"/>
          <w:szCs w:val="20"/>
          <w:lang w:eastAsia="it-IT"/>
        </w:rPr>
        <w:t xml:space="preserve"> </w:t>
      </w:r>
      <w:r w:rsidR="00922495" w:rsidRPr="00C15FDE">
        <w:rPr>
          <w:rFonts w:ascii="Titillium Web" w:eastAsia="Times New Roman" w:hAnsi="Titillium Web" w:cs="Times New Roman"/>
          <w:color w:val="333333"/>
          <w:sz w:val="20"/>
          <w:szCs w:val="20"/>
          <w:lang w:eastAsia="it-IT"/>
        </w:rPr>
        <w:t>pervenute</w:t>
      </w:r>
      <w:r w:rsidR="00AD1231">
        <w:rPr>
          <w:rFonts w:ascii="Titillium Web" w:eastAsia="Times New Roman" w:hAnsi="Titillium Web" w:cs="Times New Roman"/>
          <w:color w:val="333333"/>
          <w:sz w:val="20"/>
          <w:szCs w:val="20"/>
          <w:lang w:eastAsia="it-IT"/>
        </w:rPr>
        <w:t>:</w:t>
      </w:r>
      <w:r w:rsidR="00922495" w:rsidRPr="00C15FDE">
        <w:rPr>
          <w:rFonts w:ascii="Titillium Web" w:eastAsia="Times New Roman" w:hAnsi="Titillium Web" w:cs="Times New Roman"/>
          <w:color w:val="333333"/>
          <w:sz w:val="20"/>
          <w:szCs w:val="20"/>
          <w:lang w:eastAsia="it-IT"/>
        </w:rPr>
        <w:t xml:space="preserve"> </w:t>
      </w:r>
      <w:r w:rsidRPr="00C15FDE">
        <w:rPr>
          <w:rFonts w:ascii="Titillium Web" w:eastAsia="Times New Roman" w:hAnsi="Titillium Web" w:cs="Times New Roman"/>
          <w:color w:val="333333"/>
          <w:sz w:val="20"/>
          <w:szCs w:val="20"/>
          <w:lang w:eastAsia="it-IT"/>
        </w:rPr>
        <w:t>:</w:t>
      </w:r>
    </w:p>
    <w:p w14:paraId="3521A4C6" w14:textId="108A8282" w:rsidR="00F41E04" w:rsidRPr="00A74906" w:rsidRDefault="007558EB" w:rsidP="00BF3C33">
      <w:pPr>
        <w:pStyle w:val="Paragrafoelenco"/>
        <w:numPr>
          <w:ilvl w:val="1"/>
          <w:numId w:val="7"/>
        </w:numPr>
        <w:spacing w:after="0" w:line="360" w:lineRule="auto"/>
        <w:jc w:val="both"/>
        <w:rPr>
          <w:rFonts w:ascii="Titillium Web" w:hAnsi="Titillium Web" w:cstheme="minorHAnsi"/>
          <w:sz w:val="20"/>
          <w:szCs w:val="20"/>
        </w:rPr>
      </w:pPr>
      <w:r>
        <w:rPr>
          <w:rFonts w:ascii="Titillium Web" w:hAnsi="Titillium Web" w:cstheme="minorHAnsi"/>
          <w:sz w:val="20"/>
          <w:szCs w:val="20"/>
        </w:rPr>
        <w:t xml:space="preserve">Trimestralmente </w:t>
      </w:r>
      <w:r w:rsidR="001C0658">
        <w:rPr>
          <w:rFonts w:ascii="Titillium Web" w:hAnsi="Titillium Web" w:cstheme="minorHAnsi"/>
          <w:sz w:val="20"/>
          <w:szCs w:val="20"/>
        </w:rPr>
        <w:t>Il RUP dell’</w:t>
      </w:r>
      <w:r w:rsidR="00C15FDE">
        <w:rPr>
          <w:rFonts w:ascii="Titillium Web" w:hAnsi="Titillium Web" w:cstheme="minorHAnsi"/>
          <w:sz w:val="20"/>
          <w:szCs w:val="20"/>
        </w:rPr>
        <w:t>Avviso</w:t>
      </w:r>
      <w:r w:rsidR="001C0658" w:rsidRPr="00A74906">
        <w:rPr>
          <w:rFonts w:ascii="Titillium Web" w:hAnsi="Titillium Web" w:cstheme="minorHAnsi"/>
          <w:sz w:val="20"/>
          <w:szCs w:val="20"/>
        </w:rPr>
        <w:t xml:space="preserve"> </w:t>
      </w:r>
      <w:r w:rsidR="00AD1231" w:rsidRPr="00C15FDE">
        <w:rPr>
          <w:rFonts w:ascii="Titillium Web" w:eastAsia="Times New Roman" w:hAnsi="Titillium Web" w:cs="Times New Roman"/>
          <w:color w:val="333333"/>
          <w:sz w:val="20"/>
          <w:szCs w:val="20"/>
          <w:lang w:eastAsia="it-IT"/>
        </w:rPr>
        <w:t>(di seguito RUP dell’</w:t>
      </w:r>
      <w:r w:rsidR="00AD1231">
        <w:rPr>
          <w:rFonts w:ascii="Titillium Web" w:eastAsia="Times New Roman" w:hAnsi="Titillium Web" w:cs="Times New Roman"/>
          <w:color w:val="333333"/>
          <w:sz w:val="20"/>
          <w:szCs w:val="20"/>
          <w:lang w:eastAsia="it-IT"/>
        </w:rPr>
        <w:t>Avviso</w:t>
      </w:r>
      <w:r w:rsidR="00AD1231" w:rsidRPr="00C15FDE">
        <w:rPr>
          <w:rFonts w:ascii="Titillium Web" w:eastAsia="Times New Roman" w:hAnsi="Titillium Web" w:cs="Times New Roman"/>
          <w:color w:val="333333"/>
          <w:sz w:val="20"/>
          <w:szCs w:val="20"/>
          <w:lang w:eastAsia="it-IT"/>
        </w:rPr>
        <w:t>), supportato eventualmente dal proprio staff,</w:t>
      </w:r>
      <w:r w:rsidR="00AD1231">
        <w:rPr>
          <w:rFonts w:ascii="Titillium Web" w:eastAsia="Times New Roman" w:hAnsi="Titillium Web" w:cs="Times New Roman"/>
          <w:color w:val="333333"/>
          <w:sz w:val="20"/>
          <w:szCs w:val="20"/>
          <w:lang w:eastAsia="it-IT"/>
        </w:rPr>
        <w:t xml:space="preserve"> </w:t>
      </w:r>
      <w:r w:rsidR="00F41E04" w:rsidRPr="00A74906">
        <w:rPr>
          <w:rFonts w:ascii="Titillium Web" w:hAnsi="Titillium Web" w:cstheme="minorHAnsi"/>
          <w:sz w:val="20"/>
          <w:szCs w:val="20"/>
        </w:rPr>
        <w:t xml:space="preserve">verificherà la corretta compilazione in riferimento ai requisiti minimi indicati </w:t>
      </w:r>
      <w:r w:rsidR="00A60C90">
        <w:rPr>
          <w:rFonts w:ascii="Titillium Web" w:hAnsi="Titillium Web" w:cstheme="minorHAnsi"/>
          <w:sz w:val="20"/>
          <w:szCs w:val="20"/>
        </w:rPr>
        <w:t xml:space="preserve">in ogni </w:t>
      </w:r>
      <w:r w:rsidR="00A60C90" w:rsidRPr="00A74906">
        <w:rPr>
          <w:rFonts w:ascii="Titillium Web" w:hAnsi="Titillium Web" w:cstheme="minorHAnsi"/>
          <w:sz w:val="20"/>
          <w:szCs w:val="20"/>
        </w:rPr>
        <w:t xml:space="preserve"> </w:t>
      </w:r>
      <w:r w:rsidR="00F41E04" w:rsidRPr="00A74906">
        <w:rPr>
          <w:rFonts w:ascii="Titillium Web" w:hAnsi="Titillium Web" w:cstheme="minorHAnsi"/>
          <w:sz w:val="20"/>
          <w:szCs w:val="20"/>
        </w:rPr>
        <w:t>domand</w:t>
      </w:r>
      <w:r w:rsidR="00A60C90">
        <w:rPr>
          <w:rFonts w:ascii="Titillium Web" w:hAnsi="Titillium Web" w:cstheme="minorHAnsi"/>
          <w:sz w:val="20"/>
          <w:szCs w:val="20"/>
        </w:rPr>
        <w:t>a</w:t>
      </w:r>
      <w:r w:rsidR="00F41E04" w:rsidRPr="00A74906">
        <w:rPr>
          <w:rFonts w:ascii="Titillium Web" w:hAnsi="Titillium Web" w:cstheme="minorHAnsi"/>
          <w:sz w:val="20"/>
          <w:szCs w:val="20"/>
        </w:rPr>
        <w:t xml:space="preserve"> e nelle dichiarazioni rese dai candidati.</w:t>
      </w:r>
    </w:p>
    <w:p w14:paraId="4D43AF19" w14:textId="3C0F5A60" w:rsidR="007A6AD7" w:rsidRPr="007A6AD7" w:rsidRDefault="00430747" w:rsidP="00BF3C33">
      <w:pPr>
        <w:numPr>
          <w:ilvl w:val="0"/>
          <w:numId w:val="7"/>
        </w:numPr>
        <w:spacing w:after="0" w:line="360" w:lineRule="auto"/>
        <w:contextualSpacing/>
        <w:jc w:val="both"/>
        <w:rPr>
          <w:rFonts w:ascii="Titillium Web" w:hAnsi="Titillium Web" w:cstheme="minorHAnsi"/>
          <w:spacing w:val="-2"/>
          <w:sz w:val="20"/>
          <w:szCs w:val="20"/>
        </w:rPr>
      </w:pPr>
      <w:r>
        <w:rPr>
          <w:rFonts w:ascii="Titillium Web" w:hAnsi="Titillium Web" w:cstheme="minorHAnsi"/>
          <w:sz w:val="20"/>
          <w:szCs w:val="20"/>
        </w:rPr>
        <w:t xml:space="preserve">A fini della nomina a Componente di parte del CCT di ciascuna Opera per </w:t>
      </w:r>
      <w:r w:rsidR="007A6AD7">
        <w:rPr>
          <w:rFonts w:ascii="Titillium Web" w:hAnsi="Titillium Web" w:cstheme="minorHAnsi"/>
          <w:sz w:val="20"/>
          <w:szCs w:val="20"/>
        </w:rPr>
        <w:t>ARIASPA</w:t>
      </w:r>
      <w:r>
        <w:rPr>
          <w:rFonts w:ascii="Titillium Web" w:hAnsi="Titillium Web" w:cstheme="minorHAnsi"/>
          <w:sz w:val="20"/>
          <w:szCs w:val="20"/>
        </w:rPr>
        <w:t>:</w:t>
      </w:r>
    </w:p>
    <w:p w14:paraId="523E578E" w14:textId="63B5B73E" w:rsidR="00430747" w:rsidRDefault="00F41E04" w:rsidP="00BF3C33">
      <w:pPr>
        <w:pStyle w:val="Paragrafoelenco"/>
        <w:numPr>
          <w:ilvl w:val="1"/>
          <w:numId w:val="7"/>
        </w:numPr>
        <w:spacing w:after="0" w:line="360" w:lineRule="auto"/>
        <w:jc w:val="both"/>
        <w:rPr>
          <w:rFonts w:ascii="Titillium Web" w:hAnsi="Titillium Web" w:cstheme="minorHAnsi"/>
          <w:spacing w:val="-2"/>
          <w:sz w:val="20"/>
          <w:szCs w:val="20"/>
        </w:rPr>
      </w:pPr>
      <w:r w:rsidRPr="005366B5">
        <w:rPr>
          <w:rFonts w:ascii="Titillium Web" w:hAnsi="Titillium Web" w:cstheme="minorHAnsi"/>
          <w:sz w:val="20"/>
          <w:szCs w:val="20"/>
        </w:rPr>
        <w:t>Il Responsabile Unico del Procedimento</w:t>
      </w:r>
      <w:r w:rsidR="007A6AD7" w:rsidRPr="005366B5">
        <w:rPr>
          <w:rFonts w:ascii="Titillium Web" w:hAnsi="Titillium Web" w:cstheme="minorHAnsi"/>
          <w:sz w:val="20"/>
          <w:szCs w:val="20"/>
        </w:rPr>
        <w:t xml:space="preserve"> </w:t>
      </w:r>
      <w:r w:rsidR="00A60C90" w:rsidRPr="005366B5">
        <w:rPr>
          <w:rFonts w:ascii="Titillium Web" w:hAnsi="Titillium Web" w:cstheme="minorHAnsi"/>
          <w:sz w:val="20"/>
          <w:szCs w:val="20"/>
        </w:rPr>
        <w:t xml:space="preserve">di </w:t>
      </w:r>
      <w:r w:rsidRPr="005366B5">
        <w:rPr>
          <w:rFonts w:ascii="Titillium Web" w:hAnsi="Titillium Web" w:cstheme="minorHAnsi"/>
          <w:sz w:val="20"/>
          <w:szCs w:val="20"/>
        </w:rPr>
        <w:t>ciascuna Opera</w:t>
      </w:r>
      <w:r w:rsidR="00A60C90">
        <w:rPr>
          <w:rFonts w:ascii="Titillium Web" w:hAnsi="Titillium Web" w:cstheme="minorHAnsi"/>
          <w:spacing w:val="-2"/>
          <w:sz w:val="20"/>
          <w:szCs w:val="20"/>
        </w:rPr>
        <w:t xml:space="preserve"> in riferimento alla quale è necessario costituire un CCT </w:t>
      </w:r>
      <w:r w:rsidRPr="00A74906">
        <w:rPr>
          <w:rFonts w:ascii="Titillium Web" w:hAnsi="Titillium Web" w:cstheme="minorHAnsi"/>
          <w:spacing w:val="-2"/>
          <w:sz w:val="20"/>
          <w:szCs w:val="20"/>
        </w:rPr>
        <w:t xml:space="preserve">, esamina i curricula pervenuti ed individua il candidato, </w:t>
      </w:r>
      <w:r w:rsidR="00430747">
        <w:rPr>
          <w:rFonts w:ascii="Titillium Web" w:hAnsi="Titillium Web" w:cstheme="minorHAnsi"/>
          <w:spacing w:val="-2"/>
          <w:sz w:val="20"/>
          <w:szCs w:val="20"/>
        </w:rPr>
        <w:t xml:space="preserve">valutando </w:t>
      </w:r>
      <w:proofErr w:type="spellStart"/>
      <w:r w:rsidR="00430747">
        <w:rPr>
          <w:rFonts w:ascii="Titillium Web" w:hAnsi="Titillium Web" w:cstheme="minorHAnsi"/>
          <w:spacing w:val="-2"/>
          <w:sz w:val="20"/>
          <w:szCs w:val="20"/>
        </w:rPr>
        <w:t>il</w:t>
      </w:r>
      <w:r w:rsidRPr="00A74906">
        <w:rPr>
          <w:rFonts w:ascii="Titillium Web" w:hAnsi="Titillium Web" w:cstheme="minorHAnsi"/>
          <w:spacing w:val="-2"/>
          <w:sz w:val="20"/>
          <w:szCs w:val="20"/>
        </w:rPr>
        <w:t>l</w:t>
      </w:r>
      <w:proofErr w:type="spellEnd"/>
      <w:r w:rsidRPr="00A74906">
        <w:rPr>
          <w:rFonts w:ascii="Titillium Web" w:hAnsi="Titillium Web" w:cstheme="minorHAnsi"/>
          <w:spacing w:val="-2"/>
          <w:sz w:val="20"/>
          <w:szCs w:val="20"/>
        </w:rPr>
        <w:t xml:space="preserve"> profilo del professionista in relazione alla tipologia di Opera ed alle necessarie competenze, </w:t>
      </w:r>
    </w:p>
    <w:p w14:paraId="5F24F526" w14:textId="5CBCD3B7" w:rsidR="00F41E04" w:rsidRDefault="00430747" w:rsidP="00BF3C33">
      <w:pPr>
        <w:pStyle w:val="Paragrafoelenco"/>
        <w:numPr>
          <w:ilvl w:val="1"/>
          <w:numId w:val="7"/>
        </w:numPr>
        <w:spacing w:after="0" w:line="360" w:lineRule="auto"/>
        <w:jc w:val="both"/>
        <w:rPr>
          <w:rFonts w:ascii="Titillium Web" w:hAnsi="Titillium Web" w:cstheme="minorHAnsi"/>
          <w:spacing w:val="-2"/>
          <w:sz w:val="20"/>
          <w:szCs w:val="20"/>
        </w:rPr>
      </w:pPr>
      <w:r>
        <w:rPr>
          <w:rFonts w:ascii="Titillium Web" w:hAnsi="Titillium Web" w:cstheme="minorHAnsi"/>
          <w:spacing w:val="-2"/>
          <w:sz w:val="20"/>
          <w:szCs w:val="20"/>
        </w:rPr>
        <w:t xml:space="preserve">Il RUP dell’Opera chiede al candidato individuato </w:t>
      </w:r>
      <w:r w:rsidR="00F41E04" w:rsidRPr="00A74906">
        <w:rPr>
          <w:rFonts w:ascii="Titillium Web" w:hAnsi="Titillium Web" w:cstheme="minorHAnsi"/>
          <w:spacing w:val="-2"/>
          <w:sz w:val="20"/>
          <w:szCs w:val="20"/>
        </w:rPr>
        <w:t xml:space="preserve">di confermare la permanenza dei requisiti </w:t>
      </w:r>
      <w:r w:rsidR="00A60C90">
        <w:rPr>
          <w:rFonts w:ascii="Titillium Web" w:hAnsi="Titillium Web" w:cstheme="minorHAnsi"/>
          <w:spacing w:val="-2"/>
          <w:sz w:val="20"/>
          <w:szCs w:val="20"/>
        </w:rPr>
        <w:t xml:space="preserve">già </w:t>
      </w:r>
      <w:r w:rsidR="00F41E04" w:rsidRPr="00A74906">
        <w:rPr>
          <w:rFonts w:ascii="Titillium Web" w:hAnsi="Titillium Web" w:cstheme="minorHAnsi"/>
          <w:spacing w:val="-2"/>
          <w:sz w:val="20"/>
          <w:szCs w:val="20"/>
        </w:rPr>
        <w:t>dichiarati</w:t>
      </w:r>
      <w:r w:rsidR="00B96A8F">
        <w:rPr>
          <w:rFonts w:ascii="Titillium Web" w:hAnsi="Titillium Web" w:cstheme="minorHAnsi"/>
          <w:spacing w:val="-2"/>
          <w:sz w:val="20"/>
          <w:szCs w:val="20"/>
        </w:rPr>
        <w:t xml:space="preserve"> </w:t>
      </w:r>
      <w:r w:rsidR="00C15FDE">
        <w:rPr>
          <w:rFonts w:ascii="Titillium Web" w:hAnsi="Titillium Web" w:cstheme="minorHAnsi"/>
          <w:spacing w:val="-2"/>
          <w:sz w:val="20"/>
          <w:szCs w:val="20"/>
        </w:rPr>
        <w:t>e di rilasciare le necessarie dichiarazioni dell’</w:t>
      </w:r>
      <w:r w:rsidR="00B96A8F" w:rsidRPr="00A74906">
        <w:rPr>
          <w:rFonts w:ascii="Titillium Web" w:hAnsi="Titillium Web" w:cstheme="minorHAnsi"/>
          <w:spacing w:val="-2"/>
          <w:sz w:val="20"/>
          <w:szCs w:val="20"/>
        </w:rPr>
        <w:t>inesistenza delle cause d’incompatibilità o di astensione, che dovranno persistere per tutta la durata dell’incarico</w:t>
      </w:r>
      <w:r w:rsidR="00B96A8F">
        <w:rPr>
          <w:rFonts w:ascii="Titillium Web" w:hAnsi="Titillium Web" w:cstheme="minorHAnsi"/>
          <w:spacing w:val="-2"/>
          <w:sz w:val="20"/>
          <w:szCs w:val="20"/>
        </w:rPr>
        <w:t xml:space="preserve">  </w:t>
      </w:r>
      <w:r w:rsidR="00C15FDE">
        <w:rPr>
          <w:rFonts w:ascii="Titillium Web" w:hAnsi="Titillium Web" w:cstheme="minorHAnsi"/>
          <w:spacing w:val="-2"/>
          <w:sz w:val="20"/>
          <w:szCs w:val="20"/>
        </w:rPr>
        <w:t>ed in particolare</w:t>
      </w:r>
      <w:r w:rsidR="00B96A8F">
        <w:rPr>
          <w:rFonts w:ascii="Titillium Web" w:hAnsi="Titillium Web" w:cstheme="minorHAnsi"/>
          <w:spacing w:val="-2"/>
          <w:sz w:val="20"/>
          <w:szCs w:val="20"/>
        </w:rPr>
        <w:t>:</w:t>
      </w:r>
    </w:p>
    <w:p w14:paraId="7BC435BB" w14:textId="77777777" w:rsidR="00C15FDE" w:rsidRPr="00C15FDE" w:rsidRDefault="00C15FDE" w:rsidP="00BF3C33">
      <w:pPr>
        <w:numPr>
          <w:ilvl w:val="0"/>
          <w:numId w:val="14"/>
        </w:numPr>
        <w:autoSpaceDE w:val="0"/>
        <w:autoSpaceDN w:val="0"/>
        <w:adjustRightInd w:val="0"/>
        <w:spacing w:after="0" w:line="360" w:lineRule="auto"/>
        <w:ind w:left="1701" w:hanging="283"/>
        <w:contextualSpacing/>
        <w:jc w:val="both"/>
        <w:rPr>
          <w:rFonts w:ascii="Titillium Web" w:eastAsia="Calibri" w:hAnsi="Titillium Web" w:cstheme="minorHAnsi"/>
          <w:sz w:val="20"/>
          <w:szCs w:val="20"/>
        </w:rPr>
      </w:pPr>
      <w:bookmarkStart w:id="1" w:name="_Hlk110875437"/>
      <w:r w:rsidRPr="00C15FDE">
        <w:rPr>
          <w:rFonts w:ascii="Titillium Web" w:eastAsia="Calibri" w:hAnsi="Titillium Web" w:cstheme="minorHAnsi"/>
          <w:sz w:val="20"/>
          <w:szCs w:val="20"/>
        </w:rPr>
        <w:t xml:space="preserve">di non avere svolto </w:t>
      </w:r>
      <w:bookmarkStart w:id="2" w:name="_Hlk110875981"/>
      <w:r w:rsidRPr="00C15FDE">
        <w:rPr>
          <w:rFonts w:ascii="Titillium Web" w:eastAsia="Calibri" w:hAnsi="Titillium Web" w:cstheme="minorHAnsi"/>
          <w:sz w:val="20"/>
          <w:szCs w:val="20"/>
        </w:rPr>
        <w:t>sia per la parte pubblica che per l’operatore economico affidatario attività di controllo, verifica, progettazione, approvazione, autorizzazione, vigilanza o direzione sui lavori oggetto dell’affidamento</w:t>
      </w:r>
      <w:bookmarkEnd w:id="1"/>
      <w:bookmarkEnd w:id="2"/>
      <w:r w:rsidRPr="00C15FDE">
        <w:rPr>
          <w:rFonts w:ascii="Titillium Web" w:eastAsia="Calibri" w:hAnsi="Titillium Web" w:cstheme="minorHAnsi"/>
          <w:sz w:val="20"/>
          <w:szCs w:val="20"/>
        </w:rPr>
        <w:t xml:space="preserve">; </w:t>
      </w:r>
    </w:p>
    <w:p w14:paraId="314E48B6" w14:textId="77777777" w:rsidR="00C15FDE" w:rsidRPr="00C15FDE" w:rsidRDefault="00C15FDE" w:rsidP="00BF3C33">
      <w:pPr>
        <w:numPr>
          <w:ilvl w:val="0"/>
          <w:numId w:val="14"/>
        </w:numPr>
        <w:autoSpaceDE w:val="0"/>
        <w:autoSpaceDN w:val="0"/>
        <w:adjustRightInd w:val="0"/>
        <w:spacing w:after="0" w:line="360" w:lineRule="auto"/>
        <w:ind w:left="1701" w:hanging="283"/>
        <w:contextualSpacing/>
        <w:jc w:val="both"/>
        <w:rPr>
          <w:rFonts w:ascii="Titillium Web" w:eastAsia="Calibri" w:hAnsi="Titillium Web" w:cstheme="minorHAnsi"/>
          <w:sz w:val="20"/>
          <w:szCs w:val="20"/>
        </w:rPr>
      </w:pPr>
      <w:bookmarkStart w:id="3" w:name="_Hlk110876018"/>
      <w:r w:rsidRPr="00C15FDE">
        <w:rPr>
          <w:rFonts w:ascii="Titillium Web" w:eastAsia="Calibri" w:hAnsi="Titillium Web" w:cstheme="minorHAnsi"/>
          <w:sz w:val="20"/>
          <w:szCs w:val="20"/>
        </w:rPr>
        <w:lastRenderedPageBreak/>
        <w:t xml:space="preserve">di non avere interesse nel procedimento di esecuzione dei lavori oggetto dell’affidamento, direttamente </w:t>
      </w:r>
      <w:r w:rsidRPr="00C15FDE">
        <w:rPr>
          <w:rFonts w:ascii="Titillium Web" w:eastAsia="Calibri" w:hAnsi="Titillium Web" w:cstheme="minorHAnsi"/>
          <w:i/>
          <w:iCs/>
          <w:sz w:val="20"/>
          <w:szCs w:val="20"/>
        </w:rPr>
        <w:t>ovvero</w:t>
      </w:r>
      <w:r w:rsidRPr="00C15FDE">
        <w:rPr>
          <w:rFonts w:ascii="Titillium Web" w:eastAsia="Calibri" w:hAnsi="Titillium Web" w:cstheme="minorHAnsi"/>
          <w:sz w:val="20"/>
          <w:szCs w:val="20"/>
        </w:rPr>
        <w:t xml:space="preserve"> tramite un ente, associazione o società di cui sia amministratore o legale rappresentante</w:t>
      </w:r>
      <w:bookmarkEnd w:id="3"/>
      <w:r w:rsidRPr="00C15FDE">
        <w:rPr>
          <w:rFonts w:ascii="Titillium Web" w:eastAsia="Calibri" w:hAnsi="Titillium Web" w:cstheme="minorHAnsi"/>
          <w:sz w:val="20"/>
          <w:szCs w:val="20"/>
        </w:rPr>
        <w:t>;</w:t>
      </w:r>
    </w:p>
    <w:p w14:paraId="234838AC" w14:textId="4A80C758" w:rsidR="00C15FDE" w:rsidRPr="00C15FDE" w:rsidRDefault="00C15FDE" w:rsidP="00BF3C33">
      <w:pPr>
        <w:numPr>
          <w:ilvl w:val="0"/>
          <w:numId w:val="14"/>
        </w:numPr>
        <w:autoSpaceDE w:val="0"/>
        <w:autoSpaceDN w:val="0"/>
        <w:adjustRightInd w:val="0"/>
        <w:spacing w:after="0" w:line="360" w:lineRule="auto"/>
        <w:ind w:left="1701" w:hanging="283"/>
        <w:contextualSpacing/>
        <w:jc w:val="both"/>
        <w:rPr>
          <w:rFonts w:ascii="Titillium Web" w:eastAsia="Calibri" w:hAnsi="Titillium Web" w:cstheme="minorHAnsi"/>
          <w:sz w:val="20"/>
          <w:szCs w:val="20"/>
        </w:rPr>
      </w:pPr>
      <w:bookmarkStart w:id="4" w:name="_Hlk110876049"/>
      <w:r w:rsidRPr="00C15FDE">
        <w:rPr>
          <w:rFonts w:ascii="Titillium Web" w:eastAsia="Calibri" w:hAnsi="Titillium Web" w:cstheme="minorHAnsi"/>
          <w:sz w:val="20"/>
          <w:szCs w:val="20"/>
        </w:rPr>
        <w:t xml:space="preserve">di non avere svolto o di svolgere l’incarico di consulente tecnico d’ufficio in giudizi relativi alla esecuzione dei lavori </w:t>
      </w:r>
      <w:r w:rsidR="00A60C90">
        <w:rPr>
          <w:rFonts w:ascii="Titillium Web" w:eastAsia="Calibri" w:hAnsi="Titillium Web" w:cstheme="minorHAnsi"/>
          <w:sz w:val="20"/>
          <w:szCs w:val="20"/>
        </w:rPr>
        <w:t xml:space="preserve">in riferimento ai quali </w:t>
      </w:r>
      <w:r w:rsidRPr="00C15FDE">
        <w:rPr>
          <w:rFonts w:ascii="Titillium Web" w:eastAsia="Calibri" w:hAnsi="Titillium Web" w:cstheme="minorHAnsi"/>
          <w:sz w:val="20"/>
          <w:szCs w:val="20"/>
        </w:rPr>
        <w:t xml:space="preserve"> si proced</w:t>
      </w:r>
      <w:r w:rsidR="00A60C90">
        <w:rPr>
          <w:rFonts w:ascii="Titillium Web" w:eastAsia="Calibri" w:hAnsi="Titillium Web" w:cstheme="minorHAnsi"/>
          <w:sz w:val="20"/>
          <w:szCs w:val="20"/>
        </w:rPr>
        <w:t>e</w:t>
      </w:r>
      <w:r w:rsidRPr="00C15FDE">
        <w:rPr>
          <w:rFonts w:ascii="Titillium Web" w:eastAsia="Calibri" w:hAnsi="Titillium Web" w:cstheme="minorHAnsi"/>
          <w:sz w:val="20"/>
          <w:szCs w:val="20"/>
        </w:rPr>
        <w:t xml:space="preserve"> alla costituzione del CCT</w:t>
      </w:r>
      <w:bookmarkEnd w:id="4"/>
      <w:r w:rsidRPr="00C15FDE">
        <w:rPr>
          <w:rFonts w:ascii="Titillium Web" w:eastAsia="Calibri" w:hAnsi="Titillium Web" w:cstheme="minorHAnsi"/>
          <w:sz w:val="20"/>
          <w:szCs w:val="20"/>
        </w:rPr>
        <w:t>;</w:t>
      </w:r>
    </w:p>
    <w:p w14:paraId="24B2EE0F" w14:textId="77777777" w:rsidR="00C15FDE" w:rsidRPr="00C15FDE" w:rsidRDefault="00C15FDE" w:rsidP="00BF3C33">
      <w:pPr>
        <w:numPr>
          <w:ilvl w:val="0"/>
          <w:numId w:val="14"/>
        </w:numPr>
        <w:autoSpaceDE w:val="0"/>
        <w:autoSpaceDN w:val="0"/>
        <w:adjustRightInd w:val="0"/>
        <w:spacing w:after="0" w:line="360" w:lineRule="auto"/>
        <w:ind w:left="1701" w:hanging="283"/>
        <w:contextualSpacing/>
        <w:jc w:val="both"/>
        <w:rPr>
          <w:rFonts w:ascii="Titillium Web" w:eastAsia="Calibri" w:hAnsi="Titillium Web" w:cstheme="minorHAnsi"/>
          <w:sz w:val="20"/>
          <w:szCs w:val="20"/>
        </w:rPr>
      </w:pPr>
      <w:r w:rsidRPr="00C15FDE">
        <w:rPr>
          <w:rFonts w:ascii="Titillium Web" w:eastAsia="Calibri" w:hAnsi="Titillium Web" w:cstheme="minorHAnsi"/>
          <w:sz w:val="20"/>
          <w:szCs w:val="20"/>
        </w:rPr>
        <w:t>l’assenza di conflitto di interessi ai sensi dell’art. 42 del D.Lgs.50/2016;</w:t>
      </w:r>
    </w:p>
    <w:p w14:paraId="7F638B8A" w14:textId="77777777" w:rsidR="00C15FDE" w:rsidRPr="00C15FDE" w:rsidRDefault="00C15FDE" w:rsidP="00BF3C33">
      <w:pPr>
        <w:numPr>
          <w:ilvl w:val="0"/>
          <w:numId w:val="14"/>
        </w:numPr>
        <w:autoSpaceDE w:val="0"/>
        <w:autoSpaceDN w:val="0"/>
        <w:adjustRightInd w:val="0"/>
        <w:spacing w:after="0" w:line="360" w:lineRule="auto"/>
        <w:ind w:left="1701" w:hanging="283"/>
        <w:contextualSpacing/>
        <w:jc w:val="both"/>
        <w:rPr>
          <w:rFonts w:ascii="Titillium Web" w:eastAsia="Calibri" w:hAnsi="Titillium Web" w:cstheme="minorHAnsi"/>
          <w:sz w:val="20"/>
          <w:szCs w:val="20"/>
        </w:rPr>
      </w:pPr>
      <w:r w:rsidRPr="00C15FDE">
        <w:rPr>
          <w:rFonts w:ascii="Titillium Web" w:eastAsia="Calibri" w:hAnsi="Titillium Web" w:cstheme="minorHAnsi"/>
          <w:sz w:val="20"/>
          <w:szCs w:val="20"/>
        </w:rPr>
        <w:t>di non aver svolto</w:t>
      </w:r>
      <w:bookmarkStart w:id="5" w:name="_Hlk110876126"/>
      <w:r w:rsidRPr="00C15FDE">
        <w:rPr>
          <w:rFonts w:ascii="Titillium Web" w:eastAsia="Calibri" w:hAnsi="Titillium Web" w:cstheme="minorHAnsi"/>
          <w:sz w:val="20"/>
          <w:szCs w:val="20"/>
        </w:rPr>
        <w:t>, con riguardo ai lavori oggetto dell’affidamento, attività di collaborazione nel campo giuridico, amministrativo ed economico per una delle parti</w:t>
      </w:r>
      <w:bookmarkEnd w:id="5"/>
      <w:r w:rsidRPr="00C15FDE">
        <w:rPr>
          <w:rFonts w:ascii="Titillium Web" w:eastAsia="Calibri" w:hAnsi="Titillium Web" w:cstheme="minorHAnsi"/>
          <w:sz w:val="20"/>
          <w:szCs w:val="20"/>
        </w:rPr>
        <w:t>;</w:t>
      </w:r>
    </w:p>
    <w:p w14:paraId="28ED2206" w14:textId="77777777" w:rsidR="00C15FDE" w:rsidRPr="00C15FDE" w:rsidRDefault="00C15FDE" w:rsidP="00BF3C33">
      <w:pPr>
        <w:numPr>
          <w:ilvl w:val="0"/>
          <w:numId w:val="14"/>
        </w:numPr>
        <w:autoSpaceDE w:val="0"/>
        <w:autoSpaceDN w:val="0"/>
        <w:adjustRightInd w:val="0"/>
        <w:spacing w:after="0" w:line="360" w:lineRule="auto"/>
        <w:ind w:left="1701" w:hanging="283"/>
        <w:contextualSpacing/>
        <w:jc w:val="both"/>
        <w:rPr>
          <w:rFonts w:ascii="Titillium Web" w:eastAsia="Calibri" w:hAnsi="Titillium Web" w:cstheme="minorHAnsi"/>
          <w:sz w:val="20"/>
          <w:szCs w:val="20"/>
        </w:rPr>
      </w:pPr>
      <w:r w:rsidRPr="00C15FDE">
        <w:rPr>
          <w:rFonts w:ascii="Titillium Web" w:eastAsia="Calibri" w:hAnsi="Titillium Web" w:cstheme="minorHAnsi"/>
          <w:sz w:val="20"/>
          <w:szCs w:val="20"/>
        </w:rPr>
        <w:t>l’assenza delle cause di ricusazione di cui all’art. 815 cpc;</w:t>
      </w:r>
    </w:p>
    <w:p w14:paraId="2C3F0172" w14:textId="77777777" w:rsidR="00C15FDE" w:rsidRPr="00C15FDE" w:rsidRDefault="00C15FDE" w:rsidP="00BF3C33">
      <w:pPr>
        <w:numPr>
          <w:ilvl w:val="0"/>
          <w:numId w:val="14"/>
        </w:numPr>
        <w:autoSpaceDE w:val="0"/>
        <w:autoSpaceDN w:val="0"/>
        <w:adjustRightInd w:val="0"/>
        <w:spacing w:after="0" w:line="360" w:lineRule="auto"/>
        <w:ind w:left="1701" w:hanging="283"/>
        <w:contextualSpacing/>
        <w:jc w:val="both"/>
        <w:rPr>
          <w:rFonts w:ascii="Titillium Web" w:eastAsia="Calibri" w:hAnsi="Titillium Web" w:cstheme="minorHAnsi"/>
          <w:sz w:val="20"/>
          <w:szCs w:val="20"/>
        </w:rPr>
      </w:pPr>
      <w:bookmarkStart w:id="6" w:name="_Hlk110876365"/>
      <w:r w:rsidRPr="00C15FDE">
        <w:rPr>
          <w:rFonts w:ascii="Titillium Web" w:eastAsia="Calibri" w:hAnsi="Titillium Web" w:cstheme="minorHAnsi"/>
          <w:sz w:val="20"/>
          <w:szCs w:val="20"/>
        </w:rPr>
        <w:t>per i dipendenti pubblici, l’assenza delle cause di incompatibilità ex art. 53 D.Lgs. 165/2001;</w:t>
      </w:r>
      <w:bookmarkEnd w:id="6"/>
    </w:p>
    <w:p w14:paraId="7C5A85BA" w14:textId="4BC1F0AA" w:rsidR="00F41E04" w:rsidRPr="00A74906" w:rsidRDefault="00F41E04" w:rsidP="00BF3C33">
      <w:pPr>
        <w:pStyle w:val="Paragrafoelenco"/>
        <w:numPr>
          <w:ilvl w:val="1"/>
          <w:numId w:val="7"/>
        </w:numPr>
        <w:spacing w:after="0" w:line="360" w:lineRule="auto"/>
        <w:jc w:val="both"/>
        <w:rPr>
          <w:rFonts w:ascii="Titillium Web" w:hAnsi="Titillium Web" w:cstheme="minorHAnsi"/>
          <w:spacing w:val="-2"/>
          <w:sz w:val="20"/>
          <w:szCs w:val="20"/>
        </w:rPr>
      </w:pPr>
      <w:r w:rsidRPr="00A74906">
        <w:rPr>
          <w:rFonts w:ascii="Titillium Web" w:hAnsi="Titillium Web" w:cstheme="minorHAnsi"/>
          <w:spacing w:val="-2"/>
          <w:sz w:val="20"/>
          <w:szCs w:val="20"/>
        </w:rPr>
        <w:t xml:space="preserve">La nomina del componente di parte del Collegio Consultivo Tecnico avverrà, con Determina </w:t>
      </w:r>
      <w:r w:rsidR="00B96A8F">
        <w:rPr>
          <w:rFonts w:ascii="Titillium Web" w:hAnsi="Titillium Web" w:cstheme="minorHAnsi"/>
          <w:spacing w:val="-2"/>
          <w:sz w:val="20"/>
          <w:szCs w:val="20"/>
        </w:rPr>
        <w:t>della Stazione Appaltante</w:t>
      </w:r>
      <w:r w:rsidRPr="00A74906">
        <w:rPr>
          <w:rFonts w:ascii="Titillium Web" w:hAnsi="Titillium Web" w:cstheme="minorHAnsi"/>
          <w:spacing w:val="-2"/>
          <w:sz w:val="20"/>
          <w:szCs w:val="20"/>
        </w:rPr>
        <w:t xml:space="preserve"> su proposta del </w:t>
      </w:r>
      <w:r w:rsidR="00430747">
        <w:rPr>
          <w:rFonts w:ascii="Titillium Web" w:hAnsi="Titillium Web" w:cstheme="minorHAnsi"/>
          <w:spacing w:val="-2"/>
          <w:sz w:val="20"/>
          <w:szCs w:val="20"/>
        </w:rPr>
        <w:t>RUP dell’Opera</w:t>
      </w:r>
    </w:p>
    <w:p w14:paraId="37C92AC7" w14:textId="63991F47" w:rsidR="00F41E04" w:rsidRPr="00B96A8F" w:rsidRDefault="00F41E04" w:rsidP="00BF3C33">
      <w:pPr>
        <w:pStyle w:val="Paragrafoelenco"/>
        <w:numPr>
          <w:ilvl w:val="1"/>
          <w:numId w:val="7"/>
        </w:numPr>
        <w:spacing w:after="0" w:line="360" w:lineRule="auto"/>
        <w:jc w:val="both"/>
        <w:rPr>
          <w:rFonts w:ascii="Titillium Web" w:eastAsia="Times New Roman" w:hAnsi="Titillium Web" w:cstheme="minorHAnsi"/>
          <w:spacing w:val="-2"/>
          <w:sz w:val="20"/>
          <w:szCs w:val="20"/>
          <w:lang w:val="en-US" w:eastAsia="it-IT"/>
        </w:rPr>
      </w:pPr>
      <w:r w:rsidRPr="00A74906">
        <w:rPr>
          <w:rFonts w:ascii="Titillium Web" w:hAnsi="Titillium Web" w:cstheme="minorHAnsi"/>
          <w:spacing w:val="-2"/>
          <w:sz w:val="20"/>
          <w:szCs w:val="20"/>
        </w:rPr>
        <w:t>Al</w:t>
      </w:r>
      <w:r w:rsidRPr="00A74906">
        <w:rPr>
          <w:rFonts w:ascii="Titillium Web" w:eastAsia="Times New Roman" w:hAnsi="Titillium Web" w:cstheme="minorHAnsi"/>
          <w:spacing w:val="-2"/>
          <w:sz w:val="20"/>
          <w:szCs w:val="20"/>
          <w:lang w:eastAsia="it-IT"/>
        </w:rPr>
        <w:t xml:space="preserve"> momento del conferimento dell’incarico, sarà richiesto al professionista di presentare copia della propria polizza assicurativa a copertura dei rischi di esecuzione dell’attività professionale.</w:t>
      </w:r>
    </w:p>
    <w:p w14:paraId="0451D88A" w14:textId="30BD6AA8" w:rsidR="00B96A8F" w:rsidRPr="00A74906" w:rsidRDefault="00B96A8F" w:rsidP="00BF3C33">
      <w:pPr>
        <w:pStyle w:val="Paragrafoelenco"/>
        <w:numPr>
          <w:ilvl w:val="1"/>
          <w:numId w:val="7"/>
        </w:numPr>
        <w:spacing w:after="0" w:line="360" w:lineRule="auto"/>
        <w:jc w:val="both"/>
        <w:rPr>
          <w:rFonts w:ascii="Titillium Web" w:eastAsia="Times New Roman" w:hAnsi="Titillium Web" w:cstheme="minorHAnsi"/>
          <w:spacing w:val="-2"/>
          <w:sz w:val="20"/>
          <w:szCs w:val="20"/>
          <w:lang w:val="en-US" w:eastAsia="it-IT"/>
        </w:rPr>
      </w:pPr>
      <w:r>
        <w:rPr>
          <w:rFonts w:ascii="Titillium Web" w:eastAsia="Times New Roman" w:hAnsi="Titillium Web" w:cstheme="minorHAnsi"/>
          <w:spacing w:val="-2"/>
          <w:sz w:val="20"/>
          <w:szCs w:val="20"/>
          <w:lang w:eastAsia="it-IT"/>
        </w:rPr>
        <w:t xml:space="preserve">A </w:t>
      </w:r>
      <w:r w:rsidR="00C15FDE">
        <w:rPr>
          <w:rFonts w:ascii="Titillium Web" w:hAnsi="Titillium Web" w:cstheme="minorHAnsi"/>
          <w:spacing w:val="-2"/>
          <w:sz w:val="20"/>
          <w:szCs w:val="20"/>
        </w:rPr>
        <w:t>seguito della nomina del membro di P</w:t>
      </w:r>
      <w:r>
        <w:rPr>
          <w:rFonts w:ascii="Titillium Web" w:eastAsia="Times New Roman" w:hAnsi="Titillium Web" w:cstheme="minorHAnsi"/>
          <w:spacing w:val="-2"/>
          <w:sz w:val="20"/>
          <w:szCs w:val="20"/>
          <w:lang w:eastAsia="it-IT"/>
        </w:rPr>
        <w:t>arte di ARIA S.p.A. e dell’Appaltatore, i due componenti designati del CCT dovranno accordarsi sulla nomina del Presidente.</w:t>
      </w:r>
    </w:p>
    <w:p w14:paraId="7B303BA9" w14:textId="6A3A943B" w:rsidR="00F41E04" w:rsidRPr="00A74906" w:rsidRDefault="00F41E04" w:rsidP="00BF3C33">
      <w:pPr>
        <w:pStyle w:val="Paragrafoelenco"/>
        <w:numPr>
          <w:ilvl w:val="1"/>
          <w:numId w:val="7"/>
        </w:numPr>
        <w:spacing w:after="0" w:line="360" w:lineRule="auto"/>
        <w:jc w:val="both"/>
        <w:rPr>
          <w:rFonts w:ascii="Titillium Web" w:hAnsi="Titillium Web" w:cstheme="minorHAnsi"/>
          <w:sz w:val="20"/>
          <w:szCs w:val="20"/>
        </w:rPr>
      </w:pPr>
      <w:r w:rsidRPr="00A74906">
        <w:rPr>
          <w:rFonts w:ascii="Titillium Web" w:hAnsi="Titillium Web" w:cstheme="minorHAnsi"/>
          <w:sz w:val="20"/>
          <w:szCs w:val="20"/>
        </w:rPr>
        <w:t xml:space="preserve">Con propria determina ARIASPA </w:t>
      </w:r>
      <w:r w:rsidR="00B96A8F">
        <w:rPr>
          <w:rFonts w:ascii="Titillium Web" w:hAnsi="Titillium Web" w:cstheme="minorHAnsi"/>
          <w:sz w:val="20"/>
          <w:szCs w:val="20"/>
        </w:rPr>
        <w:t>prenderà</w:t>
      </w:r>
      <w:r w:rsidRPr="00A74906">
        <w:rPr>
          <w:rFonts w:ascii="Titillium Web" w:hAnsi="Titillium Web" w:cstheme="minorHAnsi"/>
          <w:sz w:val="20"/>
          <w:szCs w:val="20"/>
        </w:rPr>
        <w:t xml:space="preserve"> atto della designazione del Presidente (individuato dai membri di parte e/o da Regione Lombardia) e </w:t>
      </w:r>
      <w:r w:rsidR="00B96A8F">
        <w:rPr>
          <w:rFonts w:ascii="Titillium Web" w:hAnsi="Titillium Web" w:cstheme="minorHAnsi"/>
          <w:sz w:val="20"/>
          <w:szCs w:val="20"/>
        </w:rPr>
        <w:t>delibererà</w:t>
      </w:r>
      <w:r w:rsidRPr="00A74906">
        <w:rPr>
          <w:rFonts w:ascii="Titillium Web" w:hAnsi="Titillium Web" w:cstheme="minorHAnsi"/>
          <w:sz w:val="20"/>
          <w:szCs w:val="20"/>
        </w:rPr>
        <w:t xml:space="preserve"> in ordine alla costituzione del Collegio, con effetti dalla data di sottoscrizione del disciplinare da parte del Presidente, di ARIA e dell’appaltatore.</w:t>
      </w:r>
    </w:p>
    <w:p w14:paraId="7F1D585D" w14:textId="77777777" w:rsidR="00F41E04" w:rsidRPr="00A74906" w:rsidRDefault="00F41E04" w:rsidP="00BF3C33">
      <w:pPr>
        <w:pStyle w:val="Paragrafoelenco"/>
        <w:numPr>
          <w:ilvl w:val="1"/>
          <w:numId w:val="7"/>
        </w:numPr>
        <w:spacing w:after="0" w:line="360" w:lineRule="auto"/>
        <w:jc w:val="both"/>
        <w:rPr>
          <w:rFonts w:ascii="Titillium Web" w:eastAsia="Calibri" w:hAnsi="Titillium Web" w:cstheme="minorHAnsi"/>
          <w:sz w:val="20"/>
          <w:szCs w:val="20"/>
        </w:rPr>
      </w:pPr>
      <w:r w:rsidRPr="00A74906">
        <w:rPr>
          <w:rFonts w:ascii="Titillium Web" w:eastAsia="Calibri" w:hAnsi="Titillium Web" w:cstheme="minorHAnsi"/>
          <w:sz w:val="20"/>
          <w:szCs w:val="20"/>
        </w:rPr>
        <w:t>Il Collegio Consultivo Tecnico è sciolto con atto della Stazione Appaltante/Concedente entro 30 giorni dalla data della sottoscrizione del certificato di collaudo tecnico-amministrativo, salvo che non sussistano richieste di pareri o di determinazioni in merito allo stesso collaudo.</w:t>
      </w:r>
    </w:p>
    <w:p w14:paraId="2A458C0C" w14:textId="77777777" w:rsidR="00F41E04" w:rsidRPr="00A74906" w:rsidRDefault="00F41E04" w:rsidP="00BF3C33">
      <w:pPr>
        <w:spacing w:after="0" w:line="360" w:lineRule="auto"/>
        <w:ind w:left="720"/>
        <w:contextualSpacing/>
        <w:jc w:val="both"/>
        <w:rPr>
          <w:rFonts w:ascii="Titillium Web" w:eastAsia="Times New Roman" w:hAnsi="Titillium Web" w:cs="Times New Roman"/>
          <w:b/>
          <w:bCs/>
          <w:color w:val="333333"/>
          <w:sz w:val="20"/>
          <w:szCs w:val="20"/>
          <w:lang w:eastAsia="it-IT"/>
        </w:rPr>
      </w:pPr>
    </w:p>
    <w:p w14:paraId="641FF64C" w14:textId="14715100" w:rsidR="00922495" w:rsidRPr="00A74906" w:rsidRDefault="00922495" w:rsidP="00BF3C33">
      <w:pPr>
        <w:spacing w:after="0" w:line="360" w:lineRule="auto"/>
        <w:ind w:left="720"/>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b/>
          <w:bCs/>
          <w:color w:val="333333"/>
          <w:sz w:val="20"/>
          <w:szCs w:val="20"/>
          <w:lang w:eastAsia="it-IT"/>
        </w:rPr>
        <w:t xml:space="preserve">I requisiti minimi di ammissione devono essere posseduti alla data di </w:t>
      </w:r>
      <w:r w:rsidR="00B96A8F">
        <w:rPr>
          <w:rFonts w:ascii="Titillium Web" w:eastAsia="Times New Roman" w:hAnsi="Titillium Web" w:cs="Times New Roman"/>
          <w:b/>
          <w:bCs/>
          <w:color w:val="333333"/>
          <w:sz w:val="20"/>
          <w:szCs w:val="20"/>
          <w:lang w:eastAsia="it-IT"/>
        </w:rPr>
        <w:t>presentazione della domanda di ammissione all’Elenco CCT</w:t>
      </w:r>
      <w:r w:rsidRPr="00A74906">
        <w:rPr>
          <w:rFonts w:ascii="Titillium Web" w:eastAsia="Times New Roman" w:hAnsi="Titillium Web" w:cs="Times New Roman"/>
          <w:b/>
          <w:bCs/>
          <w:color w:val="333333"/>
          <w:sz w:val="20"/>
          <w:szCs w:val="20"/>
          <w:lang w:eastAsia="it-IT"/>
        </w:rPr>
        <w:t xml:space="preserve"> e devono permanere alla data effettiva di </w:t>
      </w:r>
      <w:r w:rsidR="00F41E04" w:rsidRPr="00A74906">
        <w:rPr>
          <w:rFonts w:ascii="Titillium Web" w:eastAsia="Times New Roman" w:hAnsi="Titillium Web" w:cs="Times New Roman"/>
          <w:b/>
          <w:bCs/>
          <w:color w:val="333333"/>
          <w:sz w:val="20"/>
          <w:szCs w:val="20"/>
          <w:lang w:eastAsia="it-IT"/>
        </w:rPr>
        <w:t>assegnazione d’incarico</w:t>
      </w:r>
      <w:r w:rsidRPr="00A74906">
        <w:rPr>
          <w:rFonts w:ascii="Titillium Web" w:eastAsia="Times New Roman" w:hAnsi="Titillium Web" w:cs="Times New Roman"/>
          <w:b/>
          <w:bCs/>
          <w:color w:val="333333"/>
          <w:sz w:val="20"/>
          <w:szCs w:val="20"/>
          <w:lang w:eastAsia="it-IT"/>
        </w:rPr>
        <w:t>.</w:t>
      </w:r>
    </w:p>
    <w:p w14:paraId="5021E3E6" w14:textId="77777777" w:rsidR="007558EB" w:rsidRPr="00A74906" w:rsidRDefault="007558EB" w:rsidP="00BF3C33">
      <w:pPr>
        <w:spacing w:after="0" w:line="360" w:lineRule="auto"/>
        <w:ind w:left="720"/>
        <w:contextualSpacing/>
        <w:jc w:val="both"/>
        <w:rPr>
          <w:rFonts w:ascii="Titillium Web" w:eastAsia="Times New Roman" w:hAnsi="Titillium Web" w:cs="Times New Roman"/>
          <w:color w:val="333333"/>
          <w:sz w:val="20"/>
          <w:szCs w:val="20"/>
          <w:lang w:eastAsia="it-IT"/>
        </w:rPr>
      </w:pPr>
    </w:p>
    <w:p w14:paraId="0F3C7751" w14:textId="0E52DAF6" w:rsidR="00922495" w:rsidRPr="00C15FDE" w:rsidRDefault="00F41E04" w:rsidP="00BF3C33">
      <w:pPr>
        <w:spacing w:after="0" w:line="360" w:lineRule="auto"/>
        <w:ind w:left="720"/>
        <w:contextualSpacing/>
        <w:jc w:val="both"/>
        <w:rPr>
          <w:rFonts w:ascii="Titillium Web" w:eastAsia="Times New Roman" w:hAnsi="Titillium Web" w:cs="Times New Roman"/>
          <w:color w:val="333333"/>
          <w:sz w:val="20"/>
          <w:szCs w:val="20"/>
          <w:lang w:eastAsia="it-IT"/>
        </w:rPr>
      </w:pPr>
      <w:r w:rsidRPr="00C15FDE">
        <w:rPr>
          <w:rFonts w:ascii="Titillium Web" w:eastAsia="Times New Roman" w:hAnsi="Titillium Web" w:cs="Times New Roman"/>
          <w:b/>
          <w:bCs/>
          <w:color w:val="333333"/>
          <w:sz w:val="20"/>
          <w:szCs w:val="20"/>
          <w:u w:val="single"/>
          <w:lang w:eastAsia="it-IT"/>
        </w:rPr>
        <w:t>ELENCO</w:t>
      </w:r>
      <w:r w:rsidR="00644269" w:rsidRPr="00C15FDE">
        <w:rPr>
          <w:rFonts w:ascii="Titillium Web" w:eastAsia="Times New Roman" w:hAnsi="Titillium Web" w:cs="Times New Roman"/>
          <w:b/>
          <w:bCs/>
          <w:color w:val="333333"/>
          <w:sz w:val="20"/>
          <w:szCs w:val="20"/>
          <w:u w:val="single"/>
          <w:lang w:eastAsia="it-IT"/>
        </w:rPr>
        <w:t xml:space="preserve"> CCT</w:t>
      </w:r>
      <w:r w:rsidR="00922495" w:rsidRPr="00C15FDE">
        <w:rPr>
          <w:rFonts w:ascii="Titillium Web" w:eastAsia="Times New Roman" w:hAnsi="Titillium Web" w:cs="Times New Roman"/>
          <w:b/>
          <w:bCs/>
          <w:color w:val="333333"/>
          <w:sz w:val="20"/>
          <w:szCs w:val="20"/>
          <w:lang w:eastAsia="it-IT"/>
        </w:rPr>
        <w:t>:</w:t>
      </w:r>
    </w:p>
    <w:p w14:paraId="1DBA0B76" w14:textId="4CB33C3D" w:rsidR="00922495" w:rsidRPr="00A74906" w:rsidRDefault="00644269" w:rsidP="00BF3C33">
      <w:pPr>
        <w:spacing w:after="0" w:line="360" w:lineRule="auto"/>
        <w:ind w:left="720"/>
        <w:contextualSpacing/>
        <w:jc w:val="both"/>
        <w:rPr>
          <w:rFonts w:ascii="Titillium Web" w:eastAsia="Times New Roman" w:hAnsi="Titillium Web" w:cs="Times New Roman"/>
          <w:color w:val="333333"/>
          <w:sz w:val="20"/>
          <w:szCs w:val="20"/>
          <w:lang w:eastAsia="it-IT"/>
        </w:rPr>
      </w:pPr>
      <w:r w:rsidRPr="00C15FDE">
        <w:rPr>
          <w:rFonts w:ascii="Titillium Web" w:eastAsia="Times New Roman" w:hAnsi="Titillium Web" w:cs="Times New Roman"/>
          <w:color w:val="333333"/>
          <w:sz w:val="20"/>
          <w:szCs w:val="20"/>
          <w:lang w:eastAsia="it-IT"/>
        </w:rPr>
        <w:t>L’E</w:t>
      </w:r>
      <w:r w:rsidR="00C15FDE" w:rsidRPr="00C15FDE">
        <w:rPr>
          <w:rFonts w:ascii="Titillium Web" w:eastAsia="Times New Roman" w:hAnsi="Titillium Web" w:cs="Times New Roman"/>
          <w:color w:val="333333"/>
          <w:sz w:val="20"/>
          <w:szCs w:val="20"/>
          <w:lang w:eastAsia="it-IT"/>
        </w:rPr>
        <w:t xml:space="preserve">LENCO </w:t>
      </w:r>
      <w:r w:rsidRPr="00C15FDE">
        <w:rPr>
          <w:rFonts w:ascii="Titillium Web" w:eastAsia="Times New Roman" w:hAnsi="Titillium Web" w:cs="Times New Roman"/>
          <w:color w:val="333333"/>
          <w:sz w:val="20"/>
          <w:szCs w:val="20"/>
          <w:lang w:eastAsia="it-IT"/>
        </w:rPr>
        <w:t xml:space="preserve">CCT dei soggetti idonei </w:t>
      </w:r>
      <w:r w:rsidR="00922495" w:rsidRPr="00C15FDE">
        <w:rPr>
          <w:rFonts w:ascii="Titillium Web" w:eastAsia="Times New Roman" w:hAnsi="Titillium Web" w:cs="Times New Roman"/>
          <w:color w:val="333333"/>
          <w:sz w:val="20"/>
          <w:szCs w:val="20"/>
          <w:lang w:eastAsia="it-IT"/>
        </w:rPr>
        <w:t xml:space="preserve">avrà validità </w:t>
      </w:r>
      <w:r w:rsidR="00343892" w:rsidRPr="00C15FDE">
        <w:rPr>
          <w:rFonts w:ascii="Titillium Web" w:eastAsia="Times New Roman" w:hAnsi="Titillium Web" w:cs="Times New Roman"/>
          <w:color w:val="333333"/>
          <w:sz w:val="20"/>
          <w:szCs w:val="20"/>
          <w:lang w:eastAsia="it-IT"/>
        </w:rPr>
        <w:t xml:space="preserve">dalla data di sua pubblicazione sul sito </w:t>
      </w:r>
      <w:hyperlink r:id="rId11" w:history="1">
        <w:r w:rsidR="00343892" w:rsidRPr="00C15FDE">
          <w:rPr>
            <w:rStyle w:val="Collegamentoipertestuale"/>
            <w:rFonts w:ascii="Titillium Web" w:eastAsia="Times New Roman" w:hAnsi="Titillium Web" w:cs="Times New Roman"/>
            <w:sz w:val="20"/>
            <w:szCs w:val="20"/>
            <w:lang w:eastAsia="it-IT"/>
          </w:rPr>
          <w:t>www.ariaspa.it</w:t>
        </w:r>
      </w:hyperlink>
      <w:r w:rsidR="00343892" w:rsidRPr="00C15FDE">
        <w:rPr>
          <w:rFonts w:ascii="Titillium Web" w:eastAsia="Times New Roman" w:hAnsi="Titillium Web" w:cs="Times New Roman"/>
          <w:color w:val="333333"/>
          <w:sz w:val="20"/>
          <w:szCs w:val="20"/>
          <w:lang w:eastAsia="it-IT"/>
        </w:rPr>
        <w:t>. fino</w:t>
      </w:r>
      <w:r w:rsidR="00343892">
        <w:rPr>
          <w:rFonts w:ascii="Titillium Web" w:eastAsia="Times New Roman" w:hAnsi="Titillium Web" w:cs="Times New Roman"/>
          <w:color w:val="333333"/>
          <w:sz w:val="20"/>
          <w:szCs w:val="20"/>
          <w:lang w:eastAsia="it-IT"/>
        </w:rPr>
        <w:t xml:space="preserve"> al </w:t>
      </w:r>
      <w:r w:rsidR="00CB4861">
        <w:rPr>
          <w:rFonts w:ascii="Titillium Web" w:eastAsia="Times New Roman" w:hAnsi="Titillium Web" w:cs="Times New Roman"/>
          <w:color w:val="333333"/>
          <w:sz w:val="20"/>
          <w:szCs w:val="20"/>
          <w:lang w:eastAsia="it-IT"/>
        </w:rPr>
        <w:t xml:space="preserve">30 </w:t>
      </w:r>
      <w:r w:rsidR="00343892">
        <w:rPr>
          <w:rFonts w:ascii="Titillium Web" w:eastAsia="Times New Roman" w:hAnsi="Titillium Web" w:cs="Times New Roman"/>
          <w:color w:val="333333"/>
          <w:sz w:val="20"/>
          <w:szCs w:val="20"/>
          <w:lang w:eastAsia="it-IT"/>
        </w:rPr>
        <w:t>giugno 2023 e/o comunque fino alla data indicata dalla normativa di riferimento (qualora prorogata).</w:t>
      </w:r>
    </w:p>
    <w:p w14:paraId="055667B7" w14:textId="6114841A" w:rsidR="00922495" w:rsidRDefault="00644269" w:rsidP="00BF3C33">
      <w:pPr>
        <w:spacing w:after="0" w:line="360" w:lineRule="auto"/>
        <w:ind w:left="720"/>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Con cadenza trimestrale, sarà aggiornato e pubblicato sul sito www.ariaspa.it , l’</w:t>
      </w:r>
      <w:r w:rsidR="00F41E04" w:rsidRPr="00A74906">
        <w:rPr>
          <w:rFonts w:ascii="Titillium Web" w:eastAsia="Times New Roman" w:hAnsi="Titillium Web" w:cs="Times New Roman"/>
          <w:color w:val="333333"/>
          <w:sz w:val="20"/>
          <w:szCs w:val="20"/>
          <w:lang w:eastAsia="it-IT"/>
        </w:rPr>
        <w:t>E</w:t>
      </w:r>
      <w:r w:rsidR="00C15FDE">
        <w:rPr>
          <w:rFonts w:ascii="Titillium Web" w:eastAsia="Times New Roman" w:hAnsi="Titillium Web" w:cs="Times New Roman"/>
          <w:color w:val="333333"/>
          <w:sz w:val="20"/>
          <w:szCs w:val="20"/>
          <w:lang w:eastAsia="it-IT"/>
        </w:rPr>
        <w:t>LENCO</w:t>
      </w:r>
      <w:r w:rsidR="00F41E04" w:rsidRPr="00A74906">
        <w:rPr>
          <w:rFonts w:ascii="Titillium Web" w:eastAsia="Times New Roman" w:hAnsi="Titillium Web" w:cs="Times New Roman"/>
          <w:color w:val="333333"/>
          <w:sz w:val="20"/>
          <w:szCs w:val="20"/>
          <w:lang w:eastAsia="it-IT"/>
        </w:rPr>
        <w:t xml:space="preserve"> </w:t>
      </w:r>
      <w:r w:rsidRPr="00A74906">
        <w:rPr>
          <w:rFonts w:ascii="Titillium Web" w:eastAsia="Times New Roman" w:hAnsi="Titillium Web" w:cs="Times New Roman"/>
          <w:color w:val="333333"/>
          <w:sz w:val="20"/>
          <w:szCs w:val="20"/>
          <w:lang w:eastAsia="it-IT"/>
        </w:rPr>
        <w:t xml:space="preserve">CCT dei soggetti ritenuti </w:t>
      </w:r>
      <w:r w:rsidR="00922495" w:rsidRPr="00A74906">
        <w:rPr>
          <w:rFonts w:ascii="Titillium Web" w:eastAsia="Times New Roman" w:hAnsi="Titillium Web" w:cs="Times New Roman"/>
          <w:color w:val="333333"/>
          <w:sz w:val="20"/>
          <w:szCs w:val="20"/>
          <w:lang w:eastAsia="it-IT"/>
        </w:rPr>
        <w:t>idonei</w:t>
      </w:r>
      <w:r w:rsidRPr="00A74906">
        <w:rPr>
          <w:rFonts w:ascii="Titillium Web" w:eastAsia="Times New Roman" w:hAnsi="Titillium Web" w:cs="Times New Roman"/>
          <w:color w:val="333333"/>
          <w:sz w:val="20"/>
          <w:szCs w:val="20"/>
          <w:lang w:eastAsia="it-IT"/>
        </w:rPr>
        <w:t xml:space="preserve"> </w:t>
      </w:r>
      <w:r w:rsidR="00922495" w:rsidRPr="00A74906">
        <w:rPr>
          <w:rFonts w:ascii="Titillium Web" w:eastAsia="Times New Roman" w:hAnsi="Titillium Web" w:cs="Times New Roman"/>
          <w:color w:val="333333"/>
          <w:sz w:val="20"/>
          <w:szCs w:val="20"/>
          <w:lang w:eastAsia="it-IT"/>
        </w:rPr>
        <w:t>sulla base d</w:t>
      </w:r>
      <w:r w:rsidRPr="00A74906">
        <w:rPr>
          <w:rFonts w:ascii="Titillium Web" w:eastAsia="Times New Roman" w:hAnsi="Titillium Web" w:cs="Times New Roman"/>
          <w:color w:val="333333"/>
          <w:sz w:val="20"/>
          <w:szCs w:val="20"/>
          <w:lang w:eastAsia="it-IT"/>
        </w:rPr>
        <w:t>elle autodichiarazioni rese dai candidati</w:t>
      </w:r>
      <w:r w:rsidR="00922495" w:rsidRPr="00A74906">
        <w:rPr>
          <w:rFonts w:ascii="Titillium Web" w:eastAsia="Times New Roman" w:hAnsi="Titillium Web" w:cs="Times New Roman"/>
          <w:color w:val="333333"/>
          <w:sz w:val="20"/>
          <w:szCs w:val="20"/>
          <w:lang w:eastAsia="it-IT"/>
        </w:rPr>
        <w:t>.</w:t>
      </w:r>
    </w:p>
    <w:p w14:paraId="7764E28C" w14:textId="74541223" w:rsidR="00C15FDE" w:rsidRDefault="00C15FDE" w:rsidP="00BF3C33">
      <w:pPr>
        <w:spacing w:after="0" w:line="360" w:lineRule="auto"/>
        <w:ind w:left="720"/>
        <w:contextualSpacing/>
        <w:jc w:val="both"/>
        <w:rPr>
          <w:rFonts w:ascii="Titillium Web" w:eastAsia="Times New Roman" w:hAnsi="Titillium Web" w:cs="Times New Roman"/>
          <w:color w:val="333333"/>
          <w:sz w:val="20"/>
          <w:szCs w:val="20"/>
          <w:lang w:eastAsia="it-IT"/>
        </w:rPr>
      </w:pPr>
    </w:p>
    <w:p w14:paraId="5848BD87" w14:textId="799BC4C6" w:rsidR="00C15FDE" w:rsidRDefault="00C15FDE" w:rsidP="00BF3C33">
      <w:pPr>
        <w:spacing w:after="0" w:line="360" w:lineRule="auto"/>
        <w:ind w:left="720"/>
        <w:contextualSpacing/>
        <w:jc w:val="both"/>
        <w:rPr>
          <w:rFonts w:ascii="Titillium Web" w:eastAsia="Times New Roman" w:hAnsi="Titillium Web" w:cs="Times New Roman"/>
          <w:color w:val="333333"/>
          <w:sz w:val="20"/>
          <w:szCs w:val="20"/>
          <w:lang w:eastAsia="it-IT"/>
        </w:rPr>
      </w:pPr>
    </w:p>
    <w:p w14:paraId="3C91A13A" w14:textId="7D532A6F" w:rsidR="00922495" w:rsidRPr="00A74906" w:rsidRDefault="00922495" w:rsidP="00BF3C33">
      <w:pPr>
        <w:pBdr>
          <w:top w:val="single" w:sz="4" w:space="1" w:color="auto"/>
          <w:left w:val="single" w:sz="4" w:space="4" w:color="auto"/>
          <w:bottom w:val="single" w:sz="4" w:space="1" w:color="auto"/>
          <w:right w:val="single" w:sz="4" w:space="4" w:color="auto"/>
        </w:pBdr>
        <w:shd w:val="clear" w:color="auto" w:fill="2F5496" w:themeFill="accent1" w:themeFillShade="BF"/>
        <w:spacing w:after="0" w:line="360" w:lineRule="auto"/>
        <w:contextualSpacing/>
        <w:jc w:val="both"/>
        <w:rPr>
          <w:rFonts w:ascii="Titillium Web" w:eastAsia="Times New Roman" w:hAnsi="Titillium Web" w:cs="Times New Roman"/>
          <w:b/>
          <w:bCs/>
          <w:color w:val="FFFFFF" w:themeColor="background1"/>
          <w:sz w:val="20"/>
          <w:szCs w:val="20"/>
          <w:lang w:eastAsia="it-IT"/>
        </w:rPr>
      </w:pPr>
      <w:r w:rsidRPr="00A74906">
        <w:rPr>
          <w:rFonts w:ascii="Titillium Web" w:eastAsia="Times New Roman" w:hAnsi="Titillium Web" w:cs="Times New Roman"/>
          <w:b/>
          <w:bCs/>
          <w:color w:val="FFFFFF" w:themeColor="background1"/>
          <w:sz w:val="20"/>
          <w:szCs w:val="20"/>
          <w:lang w:eastAsia="it-IT"/>
        </w:rPr>
        <w:t>INFORMAZIONE E CONTATTI</w:t>
      </w:r>
    </w:p>
    <w:p w14:paraId="76690B9D" w14:textId="77777777" w:rsidR="00C15FDE" w:rsidRDefault="00922495" w:rsidP="00BF3C33">
      <w:pPr>
        <w:spacing w:after="0" w:line="360" w:lineRule="auto"/>
        <w:ind w:left="720"/>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Disposizioni finali</w:t>
      </w:r>
    </w:p>
    <w:p w14:paraId="7C256BE9" w14:textId="426D4E7E" w:rsidR="00922495" w:rsidRPr="00A74906" w:rsidRDefault="00922495" w:rsidP="00BF3C33">
      <w:pPr>
        <w:spacing w:after="0" w:line="360" w:lineRule="auto"/>
        <w:ind w:left="720"/>
        <w:contextualSpacing/>
        <w:jc w:val="both"/>
        <w:rPr>
          <w:rFonts w:ascii="Titillium Web" w:eastAsia="Times New Roman" w:hAnsi="Titillium Web" w:cs="Times New Roman"/>
          <w:color w:val="333333"/>
          <w:sz w:val="20"/>
          <w:szCs w:val="20"/>
          <w:lang w:eastAsia="it-IT"/>
        </w:rPr>
      </w:pPr>
      <w:proofErr w:type="gramStart"/>
      <w:r w:rsidRPr="00A74906">
        <w:rPr>
          <w:rFonts w:ascii="Titillium Web" w:eastAsia="Times New Roman" w:hAnsi="Titillium Web" w:cs="Times New Roman"/>
          <w:color w:val="333333"/>
          <w:sz w:val="20"/>
          <w:szCs w:val="20"/>
          <w:lang w:eastAsia="it-IT"/>
        </w:rPr>
        <w:t>E'</w:t>
      </w:r>
      <w:proofErr w:type="gramEnd"/>
      <w:r w:rsidRPr="00A74906">
        <w:rPr>
          <w:rFonts w:ascii="Titillium Web" w:eastAsia="Times New Roman" w:hAnsi="Titillium Web" w:cs="Times New Roman"/>
          <w:color w:val="333333"/>
          <w:sz w:val="20"/>
          <w:szCs w:val="20"/>
          <w:lang w:eastAsia="it-IT"/>
        </w:rPr>
        <w:t xml:space="preserve"> fatta salva la facoltà di prorogare, prima della scadenza, il termine per la presentazione delle domande</w:t>
      </w:r>
      <w:r w:rsidR="00343892">
        <w:rPr>
          <w:rFonts w:ascii="Titillium Web" w:eastAsia="Times New Roman" w:hAnsi="Titillium Web" w:cs="Times New Roman"/>
          <w:color w:val="333333"/>
          <w:sz w:val="20"/>
          <w:szCs w:val="20"/>
          <w:lang w:eastAsia="it-IT"/>
        </w:rPr>
        <w:t>,</w:t>
      </w:r>
      <w:r w:rsidRPr="00A74906">
        <w:rPr>
          <w:rFonts w:ascii="Titillium Web" w:eastAsia="Times New Roman" w:hAnsi="Titillium Web" w:cs="Times New Roman"/>
          <w:color w:val="333333"/>
          <w:sz w:val="20"/>
          <w:szCs w:val="20"/>
          <w:lang w:eastAsia="it-IT"/>
        </w:rPr>
        <w:t xml:space="preserve"> modificare, sospendere o revocare la procedura, </w:t>
      </w:r>
      <w:r w:rsidRPr="00E56F10">
        <w:rPr>
          <w:rFonts w:ascii="Titillium Web" w:eastAsia="Times New Roman" w:hAnsi="Titillium Web" w:cs="Times New Roman"/>
          <w:i/>
          <w:iCs/>
          <w:color w:val="333333"/>
          <w:sz w:val="20"/>
          <w:szCs w:val="20"/>
          <w:lang w:eastAsia="it-IT"/>
        </w:rPr>
        <w:t>ovvero</w:t>
      </w:r>
      <w:r w:rsidRPr="00A74906">
        <w:rPr>
          <w:rFonts w:ascii="Titillium Web" w:eastAsia="Times New Roman" w:hAnsi="Titillium Web" w:cs="Times New Roman"/>
          <w:color w:val="333333"/>
          <w:sz w:val="20"/>
          <w:szCs w:val="20"/>
          <w:lang w:eastAsia="it-IT"/>
        </w:rPr>
        <w:t xml:space="preserve"> di non darvi corso in tutto o in parte, a seguito di sopravvenuti vincoli legislativi e/o finanziari, o della variazione delle esigenze organizzative della società. </w:t>
      </w:r>
    </w:p>
    <w:p w14:paraId="07245669" w14:textId="46408AB2" w:rsidR="00922495" w:rsidRPr="00A74906" w:rsidRDefault="00922495" w:rsidP="00BF3C33">
      <w:pPr>
        <w:spacing w:after="0" w:line="360" w:lineRule="auto"/>
        <w:ind w:left="720"/>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 xml:space="preserve">Struttura di riferimento: </w:t>
      </w:r>
      <w:r w:rsidR="00343892">
        <w:rPr>
          <w:rFonts w:ascii="Titillium Web" w:eastAsia="Times New Roman" w:hAnsi="Titillium Web" w:cs="Times New Roman"/>
          <w:color w:val="333333"/>
          <w:sz w:val="20"/>
          <w:szCs w:val="20"/>
          <w:lang w:eastAsia="it-IT"/>
        </w:rPr>
        <w:t xml:space="preserve">Ufficio </w:t>
      </w:r>
      <w:r w:rsidRPr="00A74906">
        <w:rPr>
          <w:rFonts w:ascii="Titillium Web" w:eastAsia="Times New Roman" w:hAnsi="Titillium Web" w:cs="Times New Roman"/>
          <w:color w:val="333333"/>
          <w:sz w:val="20"/>
          <w:szCs w:val="20"/>
          <w:lang w:eastAsia="it-IT"/>
        </w:rPr>
        <w:t>Progettazione gare lavori, servizi di ingegneria e architettura – Direzione Centrale Lavori di ARIA S.p.A.</w:t>
      </w:r>
    </w:p>
    <w:p w14:paraId="30584642" w14:textId="4A4402FD" w:rsidR="00343892" w:rsidRDefault="00922495" w:rsidP="00BF3C33">
      <w:pPr>
        <w:spacing w:after="0" w:line="360" w:lineRule="auto"/>
        <w:ind w:left="720"/>
        <w:contextualSpacing/>
        <w:jc w:val="both"/>
        <w:rPr>
          <w:rFonts w:ascii="Titillium Web" w:eastAsia="Times New Roman" w:hAnsi="Titillium Web" w:cs="Times New Roman"/>
          <w:color w:val="333333"/>
          <w:sz w:val="20"/>
          <w:szCs w:val="20"/>
          <w:lang w:eastAsia="it-IT"/>
        </w:rPr>
      </w:pPr>
      <w:r w:rsidRPr="00C15FDE">
        <w:rPr>
          <w:rFonts w:ascii="Titillium Web" w:eastAsia="Times New Roman" w:hAnsi="Titillium Web" w:cs="Times New Roman"/>
          <w:color w:val="333333"/>
          <w:sz w:val="20"/>
          <w:szCs w:val="20"/>
          <w:lang w:eastAsia="it-IT"/>
        </w:rPr>
        <w:t xml:space="preserve">Termine </w:t>
      </w:r>
      <w:r w:rsidR="00343892" w:rsidRPr="00C15FDE">
        <w:rPr>
          <w:rFonts w:ascii="Titillium Web" w:eastAsia="Times New Roman" w:hAnsi="Titillium Web" w:cs="Times New Roman"/>
          <w:color w:val="333333"/>
          <w:sz w:val="20"/>
          <w:szCs w:val="20"/>
          <w:lang w:eastAsia="it-IT"/>
        </w:rPr>
        <w:t xml:space="preserve">a decorrere dal quale sarà possibile presentare la propria candidatura: </w:t>
      </w:r>
      <w:r w:rsidR="00343892" w:rsidRPr="00BF3C33">
        <w:rPr>
          <w:rFonts w:ascii="Titillium Web" w:eastAsia="Times New Roman" w:hAnsi="Titillium Web" w:cs="Times New Roman"/>
          <w:color w:val="333333"/>
          <w:sz w:val="20"/>
          <w:szCs w:val="20"/>
          <w:lang w:eastAsia="it-IT"/>
        </w:rPr>
        <w:t xml:space="preserve">dal </w:t>
      </w:r>
      <w:r w:rsidR="00BF3C33" w:rsidRPr="00BF3C33">
        <w:rPr>
          <w:rFonts w:ascii="Titillium Web" w:eastAsia="Times New Roman" w:hAnsi="Titillium Web" w:cs="Times New Roman"/>
          <w:color w:val="333333"/>
          <w:sz w:val="20"/>
          <w:szCs w:val="20"/>
          <w:lang w:eastAsia="it-IT"/>
        </w:rPr>
        <w:t>0</w:t>
      </w:r>
      <w:r w:rsidR="005366B5" w:rsidRPr="00BF3C33">
        <w:rPr>
          <w:rFonts w:ascii="Titillium Web" w:eastAsia="Times New Roman" w:hAnsi="Titillium Web" w:cs="Times New Roman"/>
          <w:color w:val="333333"/>
          <w:sz w:val="20"/>
          <w:szCs w:val="20"/>
          <w:lang w:eastAsia="it-IT"/>
        </w:rPr>
        <w:t>6/12/2022 ore 10:00</w:t>
      </w:r>
      <w:r w:rsidR="00CB4861" w:rsidRPr="00BF3C33">
        <w:rPr>
          <w:rFonts w:ascii="Titillium Web" w:eastAsia="Times New Roman" w:hAnsi="Titillium Web" w:cs="Times New Roman"/>
          <w:color w:val="333333"/>
          <w:sz w:val="20"/>
          <w:szCs w:val="20"/>
          <w:lang w:eastAsia="it-IT"/>
        </w:rPr>
        <w:t>.</w:t>
      </w:r>
    </w:p>
    <w:p w14:paraId="1813A8C1" w14:textId="2D45B7CA" w:rsidR="00922495" w:rsidRPr="00A74906" w:rsidRDefault="00343892" w:rsidP="00BF3C33">
      <w:pPr>
        <w:spacing w:after="0" w:line="360" w:lineRule="auto"/>
        <w:ind w:left="720"/>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 xml:space="preserve">Termine </w:t>
      </w:r>
      <w:r w:rsidR="00922495" w:rsidRPr="00A74906">
        <w:rPr>
          <w:rFonts w:ascii="Titillium Web" w:eastAsia="Times New Roman" w:hAnsi="Titillium Web" w:cs="Times New Roman"/>
          <w:color w:val="333333"/>
          <w:sz w:val="20"/>
          <w:szCs w:val="20"/>
          <w:lang w:eastAsia="it-IT"/>
        </w:rPr>
        <w:t xml:space="preserve">entro cui sarà reso noto l’esito della procedura: </w:t>
      </w:r>
      <w:r w:rsidR="00644269" w:rsidRPr="00A74906">
        <w:rPr>
          <w:rFonts w:ascii="Titillium Web" w:eastAsia="Times New Roman" w:hAnsi="Titillium Web" w:cs="Times New Roman"/>
          <w:color w:val="333333"/>
          <w:sz w:val="20"/>
          <w:szCs w:val="20"/>
          <w:lang w:eastAsia="it-IT"/>
        </w:rPr>
        <w:t>con cadenza trimestrale sarà aggiornato e pubblicato sul sito www.ariaspa.it  l’ELENCO CCT</w:t>
      </w:r>
      <w:r w:rsidR="00922495" w:rsidRPr="00A74906">
        <w:rPr>
          <w:rFonts w:ascii="Titillium Web" w:eastAsia="Times New Roman" w:hAnsi="Titillium Web" w:cs="Times New Roman"/>
          <w:color w:val="333333"/>
          <w:sz w:val="20"/>
          <w:szCs w:val="20"/>
          <w:lang w:eastAsia="it-IT"/>
        </w:rPr>
        <w:t>.</w:t>
      </w:r>
    </w:p>
    <w:p w14:paraId="5126EB75" w14:textId="18590C48" w:rsidR="006117C0" w:rsidRDefault="00922495" w:rsidP="00BF3C33">
      <w:pPr>
        <w:spacing w:after="0" w:line="360" w:lineRule="auto"/>
        <w:ind w:left="720"/>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 xml:space="preserve">Responsabile del Procedimento: </w:t>
      </w:r>
      <w:r w:rsidR="00644269" w:rsidRPr="00A74906">
        <w:rPr>
          <w:rFonts w:ascii="Titillium Web" w:eastAsia="Times New Roman" w:hAnsi="Titillium Web" w:cs="Times New Roman"/>
          <w:color w:val="333333"/>
          <w:sz w:val="20"/>
          <w:szCs w:val="20"/>
          <w:lang w:eastAsia="it-IT"/>
        </w:rPr>
        <w:t xml:space="preserve">Avv. Julie Anne Smith </w:t>
      </w:r>
      <w:r w:rsidRPr="00A74906">
        <w:rPr>
          <w:rFonts w:ascii="Titillium Web" w:eastAsia="Times New Roman" w:hAnsi="Titillium Web" w:cs="Times New Roman"/>
          <w:color w:val="333333"/>
          <w:sz w:val="20"/>
          <w:szCs w:val="20"/>
          <w:lang w:eastAsia="it-IT"/>
        </w:rPr>
        <w:t xml:space="preserve"> – Responsabile </w:t>
      </w:r>
      <w:r w:rsidR="00644269" w:rsidRPr="00A74906">
        <w:rPr>
          <w:rFonts w:ascii="Titillium Web" w:eastAsia="Times New Roman" w:hAnsi="Titillium Web" w:cs="Times New Roman"/>
          <w:color w:val="333333"/>
          <w:sz w:val="20"/>
          <w:szCs w:val="20"/>
          <w:lang w:eastAsia="it-IT"/>
        </w:rPr>
        <w:t xml:space="preserve">della Struttura Progettazione Gare Lavori, Servizi di Ingegneria e Architettura </w:t>
      </w:r>
      <w:r w:rsidRPr="00A74906">
        <w:rPr>
          <w:rFonts w:ascii="Titillium Web" w:eastAsia="Times New Roman" w:hAnsi="Titillium Web" w:cs="Times New Roman"/>
          <w:color w:val="333333"/>
          <w:sz w:val="20"/>
          <w:szCs w:val="20"/>
          <w:lang w:eastAsia="it-IT"/>
        </w:rPr>
        <w:t xml:space="preserve">di Aria </w:t>
      </w:r>
      <w:proofErr w:type="spellStart"/>
      <w:r w:rsidRPr="00A74906">
        <w:rPr>
          <w:rFonts w:ascii="Titillium Web" w:eastAsia="Times New Roman" w:hAnsi="Titillium Web" w:cs="Times New Roman"/>
          <w:color w:val="333333"/>
          <w:sz w:val="20"/>
          <w:szCs w:val="20"/>
          <w:lang w:eastAsia="it-IT"/>
        </w:rPr>
        <w:t>SpA</w:t>
      </w:r>
      <w:proofErr w:type="spellEnd"/>
      <w:r w:rsidRPr="00A74906">
        <w:rPr>
          <w:rFonts w:ascii="Titillium Web" w:eastAsia="Times New Roman" w:hAnsi="Titillium Web" w:cs="Times New Roman"/>
          <w:color w:val="333333"/>
          <w:sz w:val="20"/>
          <w:szCs w:val="20"/>
          <w:lang w:eastAsia="it-IT"/>
        </w:rPr>
        <w:t>.</w:t>
      </w:r>
    </w:p>
    <w:p w14:paraId="453DA6D7" w14:textId="5514BA0D" w:rsidR="00922495" w:rsidRPr="00A74906" w:rsidRDefault="00922495" w:rsidP="00BF3C33">
      <w:pPr>
        <w:spacing w:after="0" w:line="360" w:lineRule="auto"/>
        <w:ind w:left="720"/>
        <w:contextualSpacing/>
        <w:jc w:val="both"/>
        <w:rPr>
          <w:rFonts w:ascii="Titillium Web" w:eastAsia="Times New Roman" w:hAnsi="Titillium Web" w:cs="Times New Roman"/>
          <w:color w:val="333333"/>
          <w:sz w:val="20"/>
          <w:szCs w:val="20"/>
          <w:lang w:eastAsia="it-IT"/>
        </w:rPr>
      </w:pPr>
      <w:r w:rsidRPr="00A74906">
        <w:rPr>
          <w:rFonts w:ascii="Titillium Web" w:eastAsia="Times New Roman" w:hAnsi="Titillium Web" w:cs="Times New Roman"/>
          <w:color w:val="333333"/>
          <w:sz w:val="20"/>
          <w:szCs w:val="20"/>
          <w:lang w:eastAsia="it-IT"/>
        </w:rPr>
        <w:t xml:space="preserve">Il Responsabile del Procedimento di questa procedura è inteso come Garante del corretto svolgimento </w:t>
      </w:r>
      <w:r w:rsidR="00622612">
        <w:rPr>
          <w:rFonts w:ascii="Titillium Web" w:eastAsia="Times New Roman" w:hAnsi="Titillium Web" w:cs="Times New Roman"/>
          <w:color w:val="333333"/>
          <w:sz w:val="20"/>
          <w:szCs w:val="20"/>
          <w:lang w:eastAsia="it-IT"/>
        </w:rPr>
        <w:t>della p</w:t>
      </w:r>
      <w:r w:rsidRPr="00A74906">
        <w:rPr>
          <w:rFonts w:ascii="Titillium Web" w:eastAsia="Times New Roman" w:hAnsi="Titillium Web" w:cs="Times New Roman"/>
          <w:color w:val="333333"/>
          <w:sz w:val="20"/>
          <w:szCs w:val="20"/>
          <w:lang w:eastAsia="it-IT"/>
        </w:rPr>
        <w:t xml:space="preserve">rocedura </w:t>
      </w:r>
      <w:r w:rsidR="00644269" w:rsidRPr="00A74906">
        <w:rPr>
          <w:rFonts w:ascii="Titillium Web" w:eastAsia="Times New Roman" w:hAnsi="Titillium Web" w:cs="Times New Roman"/>
          <w:color w:val="333333"/>
          <w:sz w:val="20"/>
          <w:szCs w:val="20"/>
          <w:lang w:eastAsia="it-IT"/>
        </w:rPr>
        <w:t>per l’inserimento dei soggetti idonei all’ELENCO CCT</w:t>
      </w:r>
      <w:r w:rsidRPr="00A74906">
        <w:rPr>
          <w:rFonts w:ascii="Titillium Web" w:eastAsia="Times New Roman" w:hAnsi="Titillium Web" w:cs="Times New Roman"/>
          <w:color w:val="333333"/>
          <w:sz w:val="20"/>
          <w:szCs w:val="20"/>
          <w:lang w:eastAsia="it-IT"/>
        </w:rPr>
        <w:t>.</w:t>
      </w:r>
    </w:p>
    <w:p w14:paraId="7A8FEFC3" w14:textId="2E337C2D" w:rsidR="00922495" w:rsidRPr="00A74906" w:rsidRDefault="00922495" w:rsidP="00BF3C33">
      <w:pPr>
        <w:spacing w:after="0" w:line="360" w:lineRule="auto"/>
        <w:ind w:left="720"/>
        <w:contextualSpacing/>
        <w:jc w:val="both"/>
        <w:rPr>
          <w:rFonts w:ascii="Titillium Web" w:eastAsia="Times New Roman" w:hAnsi="Titillium Web" w:cs="Times New Roman"/>
          <w:b/>
          <w:bCs/>
          <w:color w:val="333333"/>
          <w:sz w:val="20"/>
          <w:szCs w:val="20"/>
          <w:lang w:eastAsia="it-IT"/>
        </w:rPr>
      </w:pPr>
      <w:r w:rsidRPr="00A74906">
        <w:rPr>
          <w:rFonts w:ascii="Titillium Web" w:eastAsia="Times New Roman" w:hAnsi="Titillium Web" w:cs="Times New Roman"/>
          <w:color w:val="333333"/>
          <w:sz w:val="20"/>
          <w:szCs w:val="20"/>
          <w:lang w:eastAsia="it-IT"/>
        </w:rPr>
        <w:br/>
      </w:r>
      <w:r w:rsidRPr="007A1DC1">
        <w:rPr>
          <w:rFonts w:ascii="Titillium Web" w:eastAsia="Times New Roman" w:hAnsi="Titillium Web" w:cs="Times New Roman"/>
          <w:color w:val="333333"/>
          <w:sz w:val="20"/>
          <w:szCs w:val="20"/>
          <w:lang w:eastAsia="it-IT"/>
        </w:rPr>
        <w:t>Per informazioni: Lavora.con.noi@ariaspa.it</w:t>
      </w:r>
      <w:r w:rsidRPr="00A74906">
        <w:rPr>
          <w:rFonts w:ascii="Titillium Web" w:eastAsia="Times New Roman" w:hAnsi="Titillium Web" w:cs="Times New Roman"/>
          <w:color w:val="333333"/>
          <w:sz w:val="20"/>
          <w:szCs w:val="20"/>
          <w:lang w:eastAsia="it-IT"/>
        </w:rPr>
        <w:t> </w:t>
      </w:r>
    </w:p>
    <w:p w14:paraId="1D3D3563" w14:textId="77777777" w:rsidR="00922495" w:rsidRPr="00A74906" w:rsidRDefault="00922495" w:rsidP="00BF3C33">
      <w:pPr>
        <w:spacing w:after="0" w:line="360" w:lineRule="auto"/>
        <w:contextualSpacing/>
        <w:jc w:val="both"/>
        <w:rPr>
          <w:rFonts w:ascii="Titillium Web" w:hAnsi="Titillium Web"/>
          <w:sz w:val="20"/>
          <w:szCs w:val="20"/>
        </w:rPr>
      </w:pPr>
    </w:p>
    <w:sectPr w:rsidR="00922495" w:rsidRPr="00A7490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tillium Web">
    <w:charset w:val="00"/>
    <w:family w:val="auto"/>
    <w:pitch w:val="variable"/>
    <w:sig w:usb0="00000007" w:usb1="00000001"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B4BC6"/>
    <w:multiLevelType w:val="hybridMultilevel"/>
    <w:tmpl w:val="5A549A0A"/>
    <w:lvl w:ilvl="0" w:tplc="7BCCD874">
      <w:numFmt w:val="bullet"/>
      <w:lvlText w:val="-"/>
      <w:lvlJc w:val="left"/>
      <w:pPr>
        <w:ind w:left="1494" w:hanging="360"/>
      </w:pPr>
      <w:rPr>
        <w:rFonts w:ascii="Arial" w:eastAsia="Calibri" w:hAnsi="Arial" w:cs="Arial" w:hint="default"/>
      </w:rPr>
    </w:lvl>
    <w:lvl w:ilvl="1" w:tplc="04100003" w:tentative="1">
      <w:start w:val="1"/>
      <w:numFmt w:val="bullet"/>
      <w:lvlText w:val="o"/>
      <w:lvlJc w:val="left"/>
      <w:pPr>
        <w:ind w:left="2214" w:hanging="360"/>
      </w:pPr>
      <w:rPr>
        <w:rFonts w:ascii="Courier New" w:hAnsi="Courier New" w:cs="Courier New" w:hint="default"/>
      </w:rPr>
    </w:lvl>
    <w:lvl w:ilvl="2" w:tplc="04100005" w:tentative="1">
      <w:start w:val="1"/>
      <w:numFmt w:val="bullet"/>
      <w:lvlText w:val=""/>
      <w:lvlJc w:val="left"/>
      <w:pPr>
        <w:ind w:left="2934" w:hanging="360"/>
      </w:pPr>
      <w:rPr>
        <w:rFonts w:ascii="Wingdings" w:hAnsi="Wingdings" w:hint="default"/>
      </w:rPr>
    </w:lvl>
    <w:lvl w:ilvl="3" w:tplc="04100001" w:tentative="1">
      <w:start w:val="1"/>
      <w:numFmt w:val="bullet"/>
      <w:lvlText w:val=""/>
      <w:lvlJc w:val="left"/>
      <w:pPr>
        <w:ind w:left="3654" w:hanging="360"/>
      </w:pPr>
      <w:rPr>
        <w:rFonts w:ascii="Symbol" w:hAnsi="Symbol" w:hint="default"/>
      </w:rPr>
    </w:lvl>
    <w:lvl w:ilvl="4" w:tplc="04100003" w:tentative="1">
      <w:start w:val="1"/>
      <w:numFmt w:val="bullet"/>
      <w:lvlText w:val="o"/>
      <w:lvlJc w:val="left"/>
      <w:pPr>
        <w:ind w:left="4374" w:hanging="360"/>
      </w:pPr>
      <w:rPr>
        <w:rFonts w:ascii="Courier New" w:hAnsi="Courier New" w:cs="Courier New" w:hint="default"/>
      </w:rPr>
    </w:lvl>
    <w:lvl w:ilvl="5" w:tplc="04100005" w:tentative="1">
      <w:start w:val="1"/>
      <w:numFmt w:val="bullet"/>
      <w:lvlText w:val=""/>
      <w:lvlJc w:val="left"/>
      <w:pPr>
        <w:ind w:left="5094" w:hanging="360"/>
      </w:pPr>
      <w:rPr>
        <w:rFonts w:ascii="Wingdings" w:hAnsi="Wingdings" w:hint="default"/>
      </w:rPr>
    </w:lvl>
    <w:lvl w:ilvl="6" w:tplc="04100001" w:tentative="1">
      <w:start w:val="1"/>
      <w:numFmt w:val="bullet"/>
      <w:lvlText w:val=""/>
      <w:lvlJc w:val="left"/>
      <w:pPr>
        <w:ind w:left="5814" w:hanging="360"/>
      </w:pPr>
      <w:rPr>
        <w:rFonts w:ascii="Symbol" w:hAnsi="Symbol" w:hint="default"/>
      </w:rPr>
    </w:lvl>
    <w:lvl w:ilvl="7" w:tplc="04100003" w:tentative="1">
      <w:start w:val="1"/>
      <w:numFmt w:val="bullet"/>
      <w:lvlText w:val="o"/>
      <w:lvlJc w:val="left"/>
      <w:pPr>
        <w:ind w:left="6534" w:hanging="360"/>
      </w:pPr>
      <w:rPr>
        <w:rFonts w:ascii="Courier New" w:hAnsi="Courier New" w:cs="Courier New" w:hint="default"/>
      </w:rPr>
    </w:lvl>
    <w:lvl w:ilvl="8" w:tplc="04100005" w:tentative="1">
      <w:start w:val="1"/>
      <w:numFmt w:val="bullet"/>
      <w:lvlText w:val=""/>
      <w:lvlJc w:val="left"/>
      <w:pPr>
        <w:ind w:left="7254" w:hanging="360"/>
      </w:pPr>
      <w:rPr>
        <w:rFonts w:ascii="Wingdings" w:hAnsi="Wingdings" w:hint="default"/>
      </w:rPr>
    </w:lvl>
  </w:abstractNum>
  <w:abstractNum w:abstractNumId="1" w15:restartNumberingAfterBreak="0">
    <w:nsid w:val="17E9719F"/>
    <w:multiLevelType w:val="hybridMultilevel"/>
    <w:tmpl w:val="0D3C183E"/>
    <w:lvl w:ilvl="0" w:tplc="FFFFFFFF">
      <w:start w:val="1"/>
      <w:numFmt w:val="lowerLetter"/>
      <w:lvlText w:val="%1."/>
      <w:lvlJc w:val="left"/>
      <w:pPr>
        <w:ind w:left="1068" w:hanging="360"/>
      </w:pPr>
      <w:rPr>
        <w:b/>
        <w:bCs/>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 w15:restartNumberingAfterBreak="0">
    <w:nsid w:val="1ACF1E97"/>
    <w:multiLevelType w:val="multilevel"/>
    <w:tmpl w:val="6750EC6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216548CD"/>
    <w:multiLevelType w:val="multilevel"/>
    <w:tmpl w:val="BC34AE7A"/>
    <w:lvl w:ilvl="0">
      <w:start w:val="1"/>
      <w:numFmt w:val="decimal"/>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5B30018"/>
    <w:multiLevelType w:val="multilevel"/>
    <w:tmpl w:val="38DCADD2"/>
    <w:lvl w:ilvl="0">
      <w:start w:val="1"/>
      <w:numFmt w:val="decimal"/>
      <w:lvlText w:val="%1."/>
      <w:lvlJc w:val="left"/>
      <w:pPr>
        <w:ind w:left="360" w:hanging="360"/>
      </w:pPr>
      <w:rPr>
        <w:rFonts w:hint="default"/>
        <w:b/>
      </w:rPr>
    </w:lvl>
    <w:lvl w:ilvl="1">
      <w:start w:val="1"/>
      <w:numFmt w:val="decimal"/>
      <w:lvlText w:val="%2.1"/>
      <w:lvlJc w:val="left"/>
      <w:pPr>
        <w:ind w:left="360" w:hanging="360"/>
      </w:pPr>
      <w:rPr>
        <w:rFonts w:hint="default"/>
      </w:rPr>
    </w:lvl>
    <w:lvl w:ilvl="2">
      <w:start w:val="1"/>
      <w:numFmt w:val="decimal"/>
      <w:isLgl/>
      <w:lvlText w:val="%1.%2.%3."/>
      <w:lvlJc w:val="left"/>
      <w:pPr>
        <w:ind w:left="720" w:hanging="720"/>
      </w:pPr>
      <w:rPr>
        <w:rFonts w:hint="default"/>
        <w:i/>
        <w:iCs/>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27D437AF"/>
    <w:multiLevelType w:val="multilevel"/>
    <w:tmpl w:val="0D3AD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FAE755E"/>
    <w:multiLevelType w:val="hybridMultilevel"/>
    <w:tmpl w:val="DD4416C8"/>
    <w:lvl w:ilvl="0" w:tplc="0410000B">
      <w:start w:val="1"/>
      <w:numFmt w:val="bullet"/>
      <w:lvlText w:val=""/>
      <w:lvlJc w:val="left"/>
      <w:pPr>
        <w:ind w:left="72" w:hanging="360"/>
      </w:pPr>
      <w:rPr>
        <w:rFonts w:ascii="Wingdings" w:hAnsi="Wingdings" w:hint="default"/>
      </w:rPr>
    </w:lvl>
    <w:lvl w:ilvl="1" w:tplc="04100003">
      <w:start w:val="1"/>
      <w:numFmt w:val="bullet"/>
      <w:lvlText w:val="o"/>
      <w:lvlJc w:val="left"/>
      <w:pPr>
        <w:ind w:left="792" w:hanging="360"/>
      </w:pPr>
      <w:rPr>
        <w:rFonts w:ascii="Courier New" w:hAnsi="Courier New" w:cs="Courier New" w:hint="default"/>
      </w:rPr>
    </w:lvl>
    <w:lvl w:ilvl="2" w:tplc="04100005">
      <w:start w:val="1"/>
      <w:numFmt w:val="bullet"/>
      <w:lvlText w:val=""/>
      <w:lvlJc w:val="left"/>
      <w:pPr>
        <w:ind w:left="1512" w:hanging="360"/>
      </w:pPr>
      <w:rPr>
        <w:rFonts w:ascii="Wingdings" w:hAnsi="Wingdings" w:hint="default"/>
      </w:rPr>
    </w:lvl>
    <w:lvl w:ilvl="3" w:tplc="04100001" w:tentative="1">
      <w:start w:val="1"/>
      <w:numFmt w:val="bullet"/>
      <w:lvlText w:val=""/>
      <w:lvlJc w:val="left"/>
      <w:pPr>
        <w:ind w:left="2232" w:hanging="360"/>
      </w:pPr>
      <w:rPr>
        <w:rFonts w:ascii="Symbol" w:hAnsi="Symbol" w:hint="default"/>
      </w:rPr>
    </w:lvl>
    <w:lvl w:ilvl="4" w:tplc="04100003" w:tentative="1">
      <w:start w:val="1"/>
      <w:numFmt w:val="bullet"/>
      <w:lvlText w:val="o"/>
      <w:lvlJc w:val="left"/>
      <w:pPr>
        <w:ind w:left="2952" w:hanging="360"/>
      </w:pPr>
      <w:rPr>
        <w:rFonts w:ascii="Courier New" w:hAnsi="Courier New" w:cs="Courier New" w:hint="default"/>
      </w:rPr>
    </w:lvl>
    <w:lvl w:ilvl="5" w:tplc="04100005" w:tentative="1">
      <w:start w:val="1"/>
      <w:numFmt w:val="bullet"/>
      <w:lvlText w:val=""/>
      <w:lvlJc w:val="left"/>
      <w:pPr>
        <w:ind w:left="3672" w:hanging="360"/>
      </w:pPr>
      <w:rPr>
        <w:rFonts w:ascii="Wingdings" w:hAnsi="Wingdings" w:hint="default"/>
      </w:rPr>
    </w:lvl>
    <w:lvl w:ilvl="6" w:tplc="04100001" w:tentative="1">
      <w:start w:val="1"/>
      <w:numFmt w:val="bullet"/>
      <w:lvlText w:val=""/>
      <w:lvlJc w:val="left"/>
      <w:pPr>
        <w:ind w:left="4392" w:hanging="360"/>
      </w:pPr>
      <w:rPr>
        <w:rFonts w:ascii="Symbol" w:hAnsi="Symbol" w:hint="default"/>
      </w:rPr>
    </w:lvl>
    <w:lvl w:ilvl="7" w:tplc="04100003" w:tentative="1">
      <w:start w:val="1"/>
      <w:numFmt w:val="bullet"/>
      <w:lvlText w:val="o"/>
      <w:lvlJc w:val="left"/>
      <w:pPr>
        <w:ind w:left="5112" w:hanging="360"/>
      </w:pPr>
      <w:rPr>
        <w:rFonts w:ascii="Courier New" w:hAnsi="Courier New" w:cs="Courier New" w:hint="default"/>
      </w:rPr>
    </w:lvl>
    <w:lvl w:ilvl="8" w:tplc="04100005" w:tentative="1">
      <w:start w:val="1"/>
      <w:numFmt w:val="bullet"/>
      <w:lvlText w:val=""/>
      <w:lvlJc w:val="left"/>
      <w:pPr>
        <w:ind w:left="5832" w:hanging="360"/>
      </w:pPr>
      <w:rPr>
        <w:rFonts w:ascii="Wingdings" w:hAnsi="Wingdings" w:hint="default"/>
      </w:rPr>
    </w:lvl>
  </w:abstractNum>
  <w:abstractNum w:abstractNumId="7" w15:restartNumberingAfterBreak="0">
    <w:nsid w:val="315E2081"/>
    <w:multiLevelType w:val="hybridMultilevel"/>
    <w:tmpl w:val="45C6236E"/>
    <w:lvl w:ilvl="0" w:tplc="0410000B">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8" w15:restartNumberingAfterBreak="0">
    <w:nsid w:val="31CB64F3"/>
    <w:multiLevelType w:val="multilevel"/>
    <w:tmpl w:val="FE8A9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3C24E62"/>
    <w:multiLevelType w:val="multilevel"/>
    <w:tmpl w:val="86FAC8D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41910CD1"/>
    <w:multiLevelType w:val="multilevel"/>
    <w:tmpl w:val="B9603B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5AB59A5"/>
    <w:multiLevelType w:val="multilevel"/>
    <w:tmpl w:val="B370771E"/>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61CD3E5E"/>
    <w:multiLevelType w:val="multilevel"/>
    <w:tmpl w:val="BD3664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3E336BC"/>
    <w:multiLevelType w:val="hybridMultilevel"/>
    <w:tmpl w:val="0D3C183E"/>
    <w:lvl w:ilvl="0" w:tplc="6EFC37FC">
      <w:start w:val="1"/>
      <w:numFmt w:val="lowerLetter"/>
      <w:lvlText w:val="%1."/>
      <w:lvlJc w:val="left"/>
      <w:pPr>
        <w:ind w:left="1068" w:hanging="360"/>
      </w:pPr>
      <w:rPr>
        <w:b/>
        <w:bCs/>
      </w:rPr>
    </w:lvl>
    <w:lvl w:ilvl="1" w:tplc="04100003">
      <w:start w:val="1"/>
      <w:numFmt w:val="bullet"/>
      <w:lvlText w:val="o"/>
      <w:lvlJc w:val="left"/>
      <w:pPr>
        <w:ind w:left="1788" w:hanging="360"/>
      </w:pPr>
      <w:rPr>
        <w:rFonts w:ascii="Courier New" w:hAnsi="Courier New" w:cs="Courier New" w:hint="default"/>
      </w:r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4" w15:restartNumberingAfterBreak="0">
    <w:nsid w:val="6F3350A3"/>
    <w:multiLevelType w:val="multilevel"/>
    <w:tmpl w:val="8D2EA1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5E21DCE"/>
    <w:multiLevelType w:val="multilevel"/>
    <w:tmpl w:val="AC0CE110"/>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tabs>
          <w:tab w:val="num" w:pos="1440"/>
        </w:tabs>
        <w:ind w:left="1440" w:hanging="360"/>
      </w:pPr>
      <w:rPr>
        <w:rFonts w:hint="default"/>
        <w:b/>
        <w:bCs/>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6916104"/>
    <w:multiLevelType w:val="hybridMultilevel"/>
    <w:tmpl w:val="3EFEFAB8"/>
    <w:lvl w:ilvl="0" w:tplc="0410000B">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16cid:durableId="123620518">
    <w:abstractNumId w:val="5"/>
  </w:num>
  <w:num w:numId="2" w16cid:durableId="2142915270">
    <w:abstractNumId w:val="3"/>
  </w:num>
  <w:num w:numId="3" w16cid:durableId="335496906">
    <w:abstractNumId w:val="12"/>
  </w:num>
  <w:num w:numId="4" w16cid:durableId="547453069">
    <w:abstractNumId w:val="14"/>
  </w:num>
  <w:num w:numId="5" w16cid:durableId="1311058984">
    <w:abstractNumId w:val="14"/>
  </w:num>
  <w:num w:numId="6" w16cid:durableId="840585867">
    <w:abstractNumId w:val="14"/>
  </w:num>
  <w:num w:numId="7" w16cid:durableId="1080105762">
    <w:abstractNumId w:val="10"/>
  </w:num>
  <w:num w:numId="8" w16cid:durableId="63265650">
    <w:abstractNumId w:val="10"/>
  </w:num>
  <w:num w:numId="9" w16cid:durableId="1034115456">
    <w:abstractNumId w:val="8"/>
  </w:num>
  <w:num w:numId="10" w16cid:durableId="1139496066">
    <w:abstractNumId w:val="15"/>
  </w:num>
  <w:num w:numId="11" w16cid:durableId="851529096">
    <w:abstractNumId w:val="4"/>
  </w:num>
  <w:num w:numId="12" w16cid:durableId="1238054612">
    <w:abstractNumId w:val="0"/>
  </w:num>
  <w:num w:numId="13" w16cid:durableId="338700323">
    <w:abstractNumId w:val="13"/>
  </w:num>
  <w:num w:numId="14" w16cid:durableId="1240598787">
    <w:abstractNumId w:val="6"/>
  </w:num>
  <w:num w:numId="15" w16cid:durableId="1045832045">
    <w:abstractNumId w:val="1"/>
  </w:num>
  <w:num w:numId="16" w16cid:durableId="522715461">
    <w:abstractNumId w:val="7"/>
  </w:num>
  <w:num w:numId="17" w16cid:durableId="553320936">
    <w:abstractNumId w:val="16"/>
  </w:num>
  <w:num w:numId="18" w16cid:durableId="970285745">
    <w:abstractNumId w:val="9"/>
  </w:num>
  <w:num w:numId="19" w16cid:durableId="661351123">
    <w:abstractNumId w:val="11"/>
  </w:num>
  <w:num w:numId="20" w16cid:durableId="168316933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55B5"/>
    <w:rsid w:val="000755B5"/>
    <w:rsid w:val="000B00EA"/>
    <w:rsid w:val="00161C58"/>
    <w:rsid w:val="00161EB0"/>
    <w:rsid w:val="001818AF"/>
    <w:rsid w:val="001B13EC"/>
    <w:rsid w:val="001C0658"/>
    <w:rsid w:val="001C39A1"/>
    <w:rsid w:val="001C4DE2"/>
    <w:rsid w:val="001F0976"/>
    <w:rsid w:val="00204C17"/>
    <w:rsid w:val="002202DA"/>
    <w:rsid w:val="00220ECE"/>
    <w:rsid w:val="002213F2"/>
    <w:rsid w:val="0024085C"/>
    <w:rsid w:val="0025072F"/>
    <w:rsid w:val="002A076D"/>
    <w:rsid w:val="002C4B4C"/>
    <w:rsid w:val="002D636B"/>
    <w:rsid w:val="00323222"/>
    <w:rsid w:val="00326030"/>
    <w:rsid w:val="003408E3"/>
    <w:rsid w:val="00343892"/>
    <w:rsid w:val="0039204D"/>
    <w:rsid w:val="003B5999"/>
    <w:rsid w:val="00430747"/>
    <w:rsid w:val="004525F6"/>
    <w:rsid w:val="004E6569"/>
    <w:rsid w:val="004F54D7"/>
    <w:rsid w:val="00506D34"/>
    <w:rsid w:val="00513E6C"/>
    <w:rsid w:val="005366B5"/>
    <w:rsid w:val="006117C0"/>
    <w:rsid w:val="00613E8E"/>
    <w:rsid w:val="00622612"/>
    <w:rsid w:val="00644269"/>
    <w:rsid w:val="006A21BC"/>
    <w:rsid w:val="007558EB"/>
    <w:rsid w:val="00767861"/>
    <w:rsid w:val="00782879"/>
    <w:rsid w:val="00790AFF"/>
    <w:rsid w:val="007956CD"/>
    <w:rsid w:val="007A1DC1"/>
    <w:rsid w:val="007A6AD7"/>
    <w:rsid w:val="007B0A16"/>
    <w:rsid w:val="007D7C17"/>
    <w:rsid w:val="008023BB"/>
    <w:rsid w:val="00916F9B"/>
    <w:rsid w:val="00922495"/>
    <w:rsid w:val="009328C0"/>
    <w:rsid w:val="009531DD"/>
    <w:rsid w:val="00954E65"/>
    <w:rsid w:val="009A129C"/>
    <w:rsid w:val="009B70E4"/>
    <w:rsid w:val="009C48B9"/>
    <w:rsid w:val="00A60C90"/>
    <w:rsid w:val="00A74906"/>
    <w:rsid w:val="00A9084F"/>
    <w:rsid w:val="00AB5344"/>
    <w:rsid w:val="00AD1231"/>
    <w:rsid w:val="00B277AD"/>
    <w:rsid w:val="00B303AB"/>
    <w:rsid w:val="00B66D06"/>
    <w:rsid w:val="00B83C6D"/>
    <w:rsid w:val="00B96A8F"/>
    <w:rsid w:val="00BE4CF6"/>
    <w:rsid w:val="00BF3C33"/>
    <w:rsid w:val="00C15FDE"/>
    <w:rsid w:val="00C5452D"/>
    <w:rsid w:val="00C547A7"/>
    <w:rsid w:val="00C977CB"/>
    <w:rsid w:val="00CB34AA"/>
    <w:rsid w:val="00CB4861"/>
    <w:rsid w:val="00CE5CC4"/>
    <w:rsid w:val="00D14584"/>
    <w:rsid w:val="00D25773"/>
    <w:rsid w:val="00E32210"/>
    <w:rsid w:val="00E56F10"/>
    <w:rsid w:val="00E67B11"/>
    <w:rsid w:val="00E911E4"/>
    <w:rsid w:val="00EE229E"/>
    <w:rsid w:val="00EF591E"/>
    <w:rsid w:val="00F02788"/>
    <w:rsid w:val="00F411B3"/>
    <w:rsid w:val="00F41E04"/>
    <w:rsid w:val="00FC6D5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65E327"/>
  <w15:chartTrackingRefBased/>
  <w15:docId w15:val="{9257A04F-E09E-4DA0-A9EA-4BD97EAA14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link w:val="Titolo1Carattere"/>
    <w:uiPriority w:val="9"/>
    <w:qFormat/>
    <w:rsid w:val="000755B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link w:val="Titolo2Carattere"/>
    <w:uiPriority w:val="9"/>
    <w:qFormat/>
    <w:rsid w:val="000755B5"/>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755B5"/>
    <w:rPr>
      <w:rFonts w:ascii="Times New Roman" w:eastAsia="Times New Roman" w:hAnsi="Times New Roman" w:cs="Times New Roman"/>
      <w:b/>
      <w:bCs/>
      <w:kern w:val="36"/>
      <w:sz w:val="48"/>
      <w:szCs w:val="48"/>
      <w:lang w:eastAsia="it-IT"/>
    </w:rPr>
  </w:style>
  <w:style w:type="character" w:customStyle="1" w:styleId="Titolo2Carattere">
    <w:name w:val="Titolo 2 Carattere"/>
    <w:basedOn w:val="Carpredefinitoparagrafo"/>
    <w:link w:val="Titolo2"/>
    <w:uiPriority w:val="9"/>
    <w:rsid w:val="000755B5"/>
    <w:rPr>
      <w:rFonts w:ascii="Times New Roman" w:eastAsia="Times New Roman" w:hAnsi="Times New Roman" w:cs="Times New Roman"/>
      <w:b/>
      <w:bCs/>
      <w:sz w:val="36"/>
      <w:szCs w:val="36"/>
      <w:lang w:eastAsia="it-IT"/>
    </w:rPr>
  </w:style>
  <w:style w:type="character" w:customStyle="1" w:styleId="categoria">
    <w:name w:val="categoria"/>
    <w:basedOn w:val="Carpredefinitoparagrafo"/>
    <w:rsid w:val="000755B5"/>
  </w:style>
  <w:style w:type="paragraph" w:styleId="NormaleWeb">
    <w:name w:val="Normal (Web)"/>
    <w:basedOn w:val="Normale"/>
    <w:uiPriority w:val="99"/>
    <w:unhideWhenUsed/>
    <w:rsid w:val="000755B5"/>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0755B5"/>
    <w:rPr>
      <w:b/>
      <w:bCs/>
    </w:rPr>
  </w:style>
  <w:style w:type="paragraph" w:customStyle="1" w:styleId="mb-0">
    <w:name w:val="mb-0"/>
    <w:basedOn w:val="Normale"/>
    <w:rsid w:val="000755B5"/>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list-inline-item">
    <w:name w:val="list-inline-item"/>
    <w:basedOn w:val="Normale"/>
    <w:rsid w:val="000755B5"/>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sr-only">
    <w:name w:val="sr-only"/>
    <w:basedOn w:val="Carpredefinitoparagrafo"/>
    <w:rsid w:val="000755B5"/>
  </w:style>
  <w:style w:type="paragraph" w:customStyle="1" w:styleId="text-listitem">
    <w:name w:val="text-list_item"/>
    <w:basedOn w:val="Normale"/>
    <w:rsid w:val="000755B5"/>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unhideWhenUsed/>
    <w:rsid w:val="00922495"/>
    <w:rPr>
      <w:color w:val="0000FF"/>
      <w:u w:val="single"/>
    </w:rPr>
  </w:style>
  <w:style w:type="character" w:styleId="Enfasicorsivo">
    <w:name w:val="Emphasis"/>
    <w:basedOn w:val="Carpredefinitoparagrafo"/>
    <w:uiPriority w:val="20"/>
    <w:qFormat/>
    <w:rsid w:val="00922495"/>
    <w:rPr>
      <w:i/>
      <w:iCs/>
    </w:rPr>
  </w:style>
  <w:style w:type="character" w:customStyle="1" w:styleId="head-text">
    <w:name w:val="head-text"/>
    <w:basedOn w:val="Carpredefinitoparagrafo"/>
    <w:rsid w:val="00922495"/>
  </w:style>
  <w:style w:type="paragraph" w:styleId="Paragrafoelenco">
    <w:name w:val="List Paragraph"/>
    <w:aliases w:val="Paragrafo elenco 2,List Paragraph11"/>
    <w:basedOn w:val="Normale"/>
    <w:link w:val="ParagrafoelencoCarattere"/>
    <w:uiPriority w:val="34"/>
    <w:qFormat/>
    <w:rsid w:val="008023BB"/>
    <w:pPr>
      <w:ind w:left="720"/>
      <w:contextualSpacing/>
    </w:pPr>
  </w:style>
  <w:style w:type="character" w:customStyle="1" w:styleId="ParagrafoelencoCarattere">
    <w:name w:val="Paragrafo elenco Carattere"/>
    <w:aliases w:val="Paragrafo elenco 2 Carattere,List Paragraph11 Carattere"/>
    <w:link w:val="Paragrafoelenco"/>
    <w:uiPriority w:val="34"/>
    <w:locked/>
    <w:rsid w:val="000B00EA"/>
  </w:style>
  <w:style w:type="paragraph" w:styleId="Revisione">
    <w:name w:val="Revision"/>
    <w:hidden/>
    <w:uiPriority w:val="99"/>
    <w:semiHidden/>
    <w:rsid w:val="000B00EA"/>
    <w:pPr>
      <w:spacing w:after="0" w:line="240" w:lineRule="auto"/>
    </w:pPr>
  </w:style>
  <w:style w:type="table" w:styleId="Grigliatabella">
    <w:name w:val="Table Grid"/>
    <w:basedOn w:val="Tabellanormale"/>
    <w:uiPriority w:val="39"/>
    <w:rsid w:val="00E32210"/>
    <w:pPr>
      <w:spacing w:after="0" w:line="240" w:lineRule="auto"/>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basedOn w:val="Carpredefinitoparagrafo"/>
    <w:uiPriority w:val="99"/>
    <w:semiHidden/>
    <w:unhideWhenUsed/>
    <w:rsid w:val="00644269"/>
    <w:rPr>
      <w:color w:val="605E5C"/>
      <w:shd w:val="clear" w:color="auto" w:fill="E1DFDD"/>
    </w:rPr>
  </w:style>
  <w:style w:type="character" w:styleId="Rimandocommento">
    <w:name w:val="annotation reference"/>
    <w:basedOn w:val="Carpredefinitoparagrafo"/>
    <w:uiPriority w:val="99"/>
    <w:semiHidden/>
    <w:unhideWhenUsed/>
    <w:rsid w:val="002C4B4C"/>
    <w:rPr>
      <w:sz w:val="16"/>
      <w:szCs w:val="16"/>
    </w:rPr>
  </w:style>
  <w:style w:type="paragraph" w:styleId="Testocommento">
    <w:name w:val="annotation text"/>
    <w:basedOn w:val="Normale"/>
    <w:link w:val="TestocommentoCarattere"/>
    <w:uiPriority w:val="99"/>
    <w:semiHidden/>
    <w:unhideWhenUsed/>
    <w:rsid w:val="002C4B4C"/>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2C4B4C"/>
    <w:rPr>
      <w:sz w:val="20"/>
      <w:szCs w:val="20"/>
    </w:rPr>
  </w:style>
  <w:style w:type="paragraph" w:styleId="Soggettocommento">
    <w:name w:val="annotation subject"/>
    <w:basedOn w:val="Testocommento"/>
    <w:next w:val="Testocommento"/>
    <w:link w:val="SoggettocommentoCarattere"/>
    <w:uiPriority w:val="99"/>
    <w:semiHidden/>
    <w:unhideWhenUsed/>
    <w:rsid w:val="002C4B4C"/>
    <w:rPr>
      <w:b/>
      <w:bCs/>
    </w:rPr>
  </w:style>
  <w:style w:type="character" w:customStyle="1" w:styleId="SoggettocommentoCarattere">
    <w:name w:val="Soggetto commento Carattere"/>
    <w:basedOn w:val="TestocommentoCarattere"/>
    <w:link w:val="Soggettocommento"/>
    <w:uiPriority w:val="99"/>
    <w:semiHidden/>
    <w:rsid w:val="002C4B4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911293">
      <w:bodyDiv w:val="1"/>
      <w:marLeft w:val="0"/>
      <w:marRight w:val="0"/>
      <w:marTop w:val="0"/>
      <w:marBottom w:val="0"/>
      <w:divBdr>
        <w:top w:val="none" w:sz="0" w:space="0" w:color="auto"/>
        <w:left w:val="none" w:sz="0" w:space="0" w:color="auto"/>
        <w:bottom w:val="none" w:sz="0" w:space="0" w:color="auto"/>
        <w:right w:val="none" w:sz="0" w:space="0" w:color="auto"/>
      </w:divBdr>
      <w:divsChild>
        <w:div w:id="2120639912">
          <w:marLeft w:val="0"/>
          <w:marRight w:val="0"/>
          <w:marTop w:val="0"/>
          <w:marBottom w:val="0"/>
          <w:divBdr>
            <w:top w:val="none" w:sz="0" w:space="0" w:color="auto"/>
            <w:left w:val="none" w:sz="0" w:space="0" w:color="auto"/>
            <w:bottom w:val="none" w:sz="0" w:space="0" w:color="auto"/>
            <w:right w:val="none" w:sz="0" w:space="0" w:color="auto"/>
          </w:divBdr>
        </w:div>
      </w:divsChild>
    </w:div>
    <w:div w:id="504244455">
      <w:bodyDiv w:val="1"/>
      <w:marLeft w:val="0"/>
      <w:marRight w:val="0"/>
      <w:marTop w:val="0"/>
      <w:marBottom w:val="0"/>
      <w:divBdr>
        <w:top w:val="none" w:sz="0" w:space="0" w:color="auto"/>
        <w:left w:val="none" w:sz="0" w:space="0" w:color="auto"/>
        <w:bottom w:val="none" w:sz="0" w:space="0" w:color="auto"/>
        <w:right w:val="none" w:sz="0" w:space="0" w:color="auto"/>
      </w:divBdr>
      <w:divsChild>
        <w:div w:id="501942587">
          <w:marLeft w:val="0"/>
          <w:marRight w:val="0"/>
          <w:marTop w:val="0"/>
          <w:marBottom w:val="0"/>
          <w:divBdr>
            <w:top w:val="none" w:sz="0" w:space="0" w:color="auto"/>
            <w:left w:val="none" w:sz="0" w:space="0" w:color="auto"/>
            <w:bottom w:val="none" w:sz="0" w:space="0" w:color="auto"/>
            <w:right w:val="none" w:sz="0" w:space="0" w:color="auto"/>
          </w:divBdr>
          <w:divsChild>
            <w:div w:id="884219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4347377">
      <w:bodyDiv w:val="1"/>
      <w:marLeft w:val="0"/>
      <w:marRight w:val="0"/>
      <w:marTop w:val="0"/>
      <w:marBottom w:val="0"/>
      <w:divBdr>
        <w:top w:val="none" w:sz="0" w:space="0" w:color="auto"/>
        <w:left w:val="none" w:sz="0" w:space="0" w:color="auto"/>
        <w:bottom w:val="none" w:sz="0" w:space="0" w:color="auto"/>
        <w:right w:val="none" w:sz="0" w:space="0" w:color="auto"/>
      </w:divBdr>
      <w:divsChild>
        <w:div w:id="288435541">
          <w:marLeft w:val="0"/>
          <w:marRight w:val="0"/>
          <w:marTop w:val="0"/>
          <w:marBottom w:val="0"/>
          <w:divBdr>
            <w:top w:val="none" w:sz="0" w:space="0" w:color="auto"/>
            <w:left w:val="none" w:sz="0" w:space="0" w:color="auto"/>
            <w:bottom w:val="none" w:sz="0" w:space="0" w:color="auto"/>
            <w:right w:val="none" w:sz="0" w:space="0" w:color="auto"/>
          </w:divBdr>
        </w:div>
      </w:divsChild>
    </w:div>
    <w:div w:id="1119370690">
      <w:bodyDiv w:val="1"/>
      <w:marLeft w:val="0"/>
      <w:marRight w:val="0"/>
      <w:marTop w:val="0"/>
      <w:marBottom w:val="0"/>
      <w:divBdr>
        <w:top w:val="none" w:sz="0" w:space="0" w:color="auto"/>
        <w:left w:val="none" w:sz="0" w:space="0" w:color="auto"/>
        <w:bottom w:val="none" w:sz="0" w:space="0" w:color="auto"/>
        <w:right w:val="none" w:sz="0" w:space="0" w:color="auto"/>
      </w:divBdr>
      <w:divsChild>
        <w:div w:id="1638992722">
          <w:marLeft w:val="0"/>
          <w:marRight w:val="0"/>
          <w:marTop w:val="0"/>
          <w:marBottom w:val="0"/>
          <w:divBdr>
            <w:top w:val="none" w:sz="0" w:space="0" w:color="auto"/>
            <w:left w:val="none" w:sz="0" w:space="0" w:color="auto"/>
            <w:bottom w:val="none" w:sz="0" w:space="0" w:color="auto"/>
            <w:right w:val="none" w:sz="0" w:space="0" w:color="auto"/>
          </w:divBdr>
        </w:div>
      </w:divsChild>
    </w:div>
    <w:div w:id="1172600557">
      <w:bodyDiv w:val="1"/>
      <w:marLeft w:val="0"/>
      <w:marRight w:val="0"/>
      <w:marTop w:val="0"/>
      <w:marBottom w:val="0"/>
      <w:divBdr>
        <w:top w:val="none" w:sz="0" w:space="0" w:color="auto"/>
        <w:left w:val="none" w:sz="0" w:space="0" w:color="auto"/>
        <w:bottom w:val="none" w:sz="0" w:space="0" w:color="auto"/>
        <w:right w:val="none" w:sz="0" w:space="0" w:color="auto"/>
      </w:divBdr>
      <w:divsChild>
        <w:div w:id="1630552334">
          <w:marLeft w:val="0"/>
          <w:marRight w:val="0"/>
          <w:marTop w:val="0"/>
          <w:marBottom w:val="0"/>
          <w:divBdr>
            <w:top w:val="none" w:sz="0" w:space="0" w:color="auto"/>
            <w:left w:val="none" w:sz="0" w:space="0" w:color="auto"/>
            <w:bottom w:val="none" w:sz="0" w:space="0" w:color="auto"/>
            <w:right w:val="none" w:sz="0" w:space="0" w:color="auto"/>
          </w:divBdr>
          <w:divsChild>
            <w:div w:id="295599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9702843">
      <w:bodyDiv w:val="1"/>
      <w:marLeft w:val="0"/>
      <w:marRight w:val="0"/>
      <w:marTop w:val="0"/>
      <w:marBottom w:val="0"/>
      <w:divBdr>
        <w:top w:val="none" w:sz="0" w:space="0" w:color="auto"/>
        <w:left w:val="none" w:sz="0" w:space="0" w:color="auto"/>
        <w:bottom w:val="none" w:sz="0" w:space="0" w:color="auto"/>
        <w:right w:val="none" w:sz="0" w:space="0" w:color="auto"/>
      </w:divBdr>
      <w:divsChild>
        <w:div w:id="2046127801">
          <w:marLeft w:val="0"/>
          <w:marRight w:val="0"/>
          <w:marTop w:val="0"/>
          <w:marBottom w:val="0"/>
          <w:divBdr>
            <w:top w:val="none" w:sz="0" w:space="0" w:color="auto"/>
            <w:left w:val="none" w:sz="0" w:space="0" w:color="auto"/>
            <w:bottom w:val="none" w:sz="0" w:space="0" w:color="auto"/>
            <w:right w:val="none" w:sz="0" w:space="0" w:color="auto"/>
          </w:divBdr>
        </w:div>
      </w:divsChild>
    </w:div>
    <w:div w:id="2056270141">
      <w:bodyDiv w:val="1"/>
      <w:marLeft w:val="0"/>
      <w:marRight w:val="0"/>
      <w:marTop w:val="0"/>
      <w:marBottom w:val="0"/>
      <w:divBdr>
        <w:top w:val="none" w:sz="0" w:space="0" w:color="auto"/>
        <w:left w:val="none" w:sz="0" w:space="0" w:color="auto"/>
        <w:bottom w:val="none" w:sz="0" w:space="0" w:color="auto"/>
        <w:right w:val="none" w:sz="0" w:space="0" w:color="auto"/>
      </w:divBdr>
      <w:divsChild>
        <w:div w:id="86001862">
          <w:marLeft w:val="-90"/>
          <w:marRight w:val="-90"/>
          <w:marTop w:val="0"/>
          <w:marBottom w:val="0"/>
          <w:divBdr>
            <w:top w:val="none" w:sz="0" w:space="0" w:color="auto"/>
            <w:left w:val="none" w:sz="0" w:space="0" w:color="auto"/>
            <w:bottom w:val="none" w:sz="0" w:space="0" w:color="auto"/>
            <w:right w:val="none" w:sz="0" w:space="0" w:color="auto"/>
          </w:divBdr>
          <w:divsChild>
            <w:div w:id="1458065213">
              <w:marLeft w:val="0"/>
              <w:marRight w:val="0"/>
              <w:marTop w:val="0"/>
              <w:marBottom w:val="0"/>
              <w:divBdr>
                <w:top w:val="none" w:sz="0" w:space="0" w:color="auto"/>
                <w:left w:val="none" w:sz="0" w:space="0" w:color="auto"/>
                <w:bottom w:val="none" w:sz="0" w:space="0" w:color="auto"/>
                <w:right w:val="none" w:sz="0" w:space="0" w:color="auto"/>
              </w:divBdr>
            </w:div>
          </w:divsChild>
        </w:div>
        <w:div w:id="1395277138">
          <w:marLeft w:val="-90"/>
          <w:marRight w:val="-90"/>
          <w:marTop w:val="0"/>
          <w:marBottom w:val="0"/>
          <w:divBdr>
            <w:top w:val="none" w:sz="0" w:space="0" w:color="auto"/>
            <w:left w:val="none" w:sz="0" w:space="0" w:color="auto"/>
            <w:bottom w:val="none" w:sz="0" w:space="0" w:color="auto"/>
            <w:right w:val="none" w:sz="0" w:space="0" w:color="auto"/>
          </w:divBdr>
          <w:divsChild>
            <w:div w:id="1990131743">
              <w:marLeft w:val="0"/>
              <w:marRight w:val="0"/>
              <w:marTop w:val="0"/>
              <w:marBottom w:val="0"/>
              <w:divBdr>
                <w:top w:val="none" w:sz="0" w:space="0" w:color="auto"/>
                <w:left w:val="none" w:sz="0" w:space="0" w:color="auto"/>
                <w:bottom w:val="none" w:sz="0" w:space="0" w:color="auto"/>
                <w:right w:val="none" w:sz="0" w:space="0" w:color="auto"/>
              </w:divBdr>
            </w:div>
            <w:div w:id="1166894419">
              <w:marLeft w:val="0"/>
              <w:marRight w:val="0"/>
              <w:marTop w:val="0"/>
              <w:marBottom w:val="0"/>
              <w:divBdr>
                <w:top w:val="none" w:sz="0" w:space="0" w:color="auto"/>
                <w:left w:val="none" w:sz="0" w:space="0" w:color="auto"/>
                <w:bottom w:val="none" w:sz="0" w:space="0" w:color="auto"/>
                <w:right w:val="none" w:sz="0" w:space="0" w:color="auto"/>
              </w:divBdr>
              <w:divsChild>
                <w:div w:id="234122659">
                  <w:marLeft w:val="-90"/>
                  <w:marRight w:val="-90"/>
                  <w:marTop w:val="0"/>
                  <w:marBottom w:val="0"/>
                  <w:divBdr>
                    <w:top w:val="none" w:sz="0" w:space="0" w:color="auto"/>
                    <w:left w:val="none" w:sz="0" w:space="0" w:color="auto"/>
                    <w:bottom w:val="none" w:sz="0" w:space="0" w:color="auto"/>
                    <w:right w:val="none" w:sz="0" w:space="0" w:color="auto"/>
                  </w:divBdr>
                  <w:divsChild>
                    <w:div w:id="842549257">
                      <w:marLeft w:val="120"/>
                      <w:marRight w:val="0"/>
                      <w:marTop w:val="0"/>
                      <w:marBottom w:val="0"/>
                      <w:divBdr>
                        <w:top w:val="none" w:sz="0" w:space="0" w:color="auto"/>
                        <w:left w:val="none" w:sz="0" w:space="0" w:color="auto"/>
                        <w:bottom w:val="none" w:sz="0" w:space="0" w:color="auto"/>
                        <w:right w:val="none" w:sz="0" w:space="0" w:color="auto"/>
                      </w:divBdr>
                    </w:div>
                  </w:divsChild>
                </w:div>
                <w:div w:id="2113353480">
                  <w:marLeft w:val="-90"/>
                  <w:marRight w:val="-90"/>
                  <w:marTop w:val="0"/>
                  <w:marBottom w:val="0"/>
                  <w:divBdr>
                    <w:top w:val="none" w:sz="0" w:space="0" w:color="auto"/>
                    <w:left w:val="none" w:sz="0" w:space="0" w:color="auto"/>
                    <w:bottom w:val="none" w:sz="0" w:space="0" w:color="auto"/>
                    <w:right w:val="none" w:sz="0" w:space="0" w:color="auto"/>
                  </w:divBdr>
                  <w:divsChild>
                    <w:div w:id="682391327">
                      <w:marLeft w:val="120"/>
                      <w:marRight w:val="0"/>
                      <w:marTop w:val="0"/>
                      <w:marBottom w:val="0"/>
                      <w:divBdr>
                        <w:top w:val="none" w:sz="0" w:space="0" w:color="auto"/>
                        <w:left w:val="none" w:sz="0" w:space="0" w:color="auto"/>
                        <w:bottom w:val="none" w:sz="0" w:space="0" w:color="auto"/>
                        <w:right w:val="none" w:sz="0" w:space="0" w:color="auto"/>
                      </w:divBdr>
                      <w:divsChild>
                        <w:div w:id="2113041547">
                          <w:marLeft w:val="0"/>
                          <w:marRight w:val="0"/>
                          <w:marTop w:val="0"/>
                          <w:marBottom w:val="0"/>
                          <w:divBdr>
                            <w:top w:val="none" w:sz="0" w:space="0" w:color="auto"/>
                            <w:left w:val="none" w:sz="0" w:space="0" w:color="auto"/>
                            <w:bottom w:val="none" w:sz="0" w:space="0" w:color="auto"/>
                            <w:right w:val="none" w:sz="0" w:space="0" w:color="auto"/>
                          </w:divBdr>
                          <w:divsChild>
                            <w:div w:id="927538148">
                              <w:marLeft w:val="-90"/>
                              <w:marRight w:val="-90"/>
                              <w:marTop w:val="0"/>
                              <w:marBottom w:val="0"/>
                              <w:divBdr>
                                <w:top w:val="none" w:sz="0" w:space="0" w:color="auto"/>
                                <w:left w:val="none" w:sz="0" w:space="0" w:color="auto"/>
                                <w:bottom w:val="none" w:sz="0" w:space="0" w:color="auto"/>
                                <w:right w:val="none" w:sz="0" w:space="0" w:color="auto"/>
                              </w:divBdr>
                              <w:divsChild>
                                <w:div w:id="1734038448">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7982844">
          <w:marLeft w:val="-90"/>
          <w:marRight w:val="-90"/>
          <w:marTop w:val="0"/>
          <w:marBottom w:val="0"/>
          <w:divBdr>
            <w:top w:val="none" w:sz="0" w:space="0" w:color="auto"/>
            <w:left w:val="none" w:sz="0" w:space="0" w:color="auto"/>
            <w:bottom w:val="none" w:sz="0" w:space="0" w:color="auto"/>
            <w:right w:val="none" w:sz="0" w:space="0" w:color="auto"/>
          </w:divBdr>
          <w:divsChild>
            <w:div w:id="1897231890">
              <w:marLeft w:val="0"/>
              <w:marRight w:val="0"/>
              <w:marTop w:val="240"/>
              <w:marBottom w:val="0"/>
              <w:divBdr>
                <w:top w:val="none" w:sz="0" w:space="0" w:color="auto"/>
                <w:left w:val="none" w:sz="0" w:space="0" w:color="auto"/>
                <w:bottom w:val="none" w:sz="0" w:space="0" w:color="auto"/>
                <w:right w:val="none" w:sz="0" w:space="0" w:color="auto"/>
              </w:divBdr>
              <w:divsChild>
                <w:div w:id="105001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www.bandi.regione.lombardia.it/"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http://www.ariaspa.it" TargetMode="External"/><Relationship Id="rId5" Type="http://schemas.openxmlformats.org/officeDocument/2006/relationships/webSettings" Target="webSettings.xml"/><Relationship Id="rId10" Type="http://schemas.openxmlformats.org/officeDocument/2006/relationships/hyperlink" Target="https://www.spid.gov.it/domande-frequenti" TargetMode="External"/><Relationship Id="rId4" Type="http://schemas.openxmlformats.org/officeDocument/2006/relationships/settings" Target="settings.xml"/><Relationship Id="rId9" Type="http://schemas.openxmlformats.org/officeDocument/2006/relationships/hyperlink" Target="https://www.spid.gov.it/richiedi-spid"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0A0F1A-4756-4E2F-A8D8-649991AE3C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3346</Words>
  <Characters>19078</Characters>
  <Application>Microsoft Office Word</Application>
  <DocSecurity>0</DocSecurity>
  <Lines>158</Lines>
  <Paragraphs>44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22380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Basilico Monica Chiara</dc:creator>
  <cp:keywords/>
  <dc:description/>
  <cp:lastModifiedBy>Basilico Monica Chiara</cp:lastModifiedBy>
  <cp:revision>2</cp:revision>
  <dcterms:created xsi:type="dcterms:W3CDTF">2023-01-20T13:14:00Z</dcterms:created>
  <dcterms:modified xsi:type="dcterms:W3CDTF">2023-01-20T13:14:00Z</dcterms:modified>
</cp:coreProperties>
</file>