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A50" w:rsidRPr="002A4C2B" w:rsidRDefault="00311A50" w:rsidP="00311A50">
      <w:pPr>
        <w:ind w:left="1996" w:firstLine="164"/>
        <w:rPr>
          <w:rFonts w:asciiTheme="majorHAnsi" w:eastAsia="Calibri" w:hAnsiTheme="majorHAnsi" w:cs="Times New Roman"/>
          <w:b/>
          <w:sz w:val="24"/>
          <w:szCs w:val="24"/>
          <w:lang w:val="it-IT" w:eastAsia="en-US"/>
        </w:rPr>
      </w:pPr>
      <w:r w:rsidRPr="002A4C2B">
        <w:rPr>
          <w:rFonts w:asciiTheme="majorHAnsi" w:eastAsia="Calibri" w:hAnsiTheme="majorHAnsi" w:cs="Times New Roman"/>
          <w:b/>
          <w:sz w:val="24"/>
          <w:szCs w:val="24"/>
          <w:lang w:val="it-IT" w:eastAsia="en-US"/>
        </w:rPr>
        <w:t>FAC-SIMILE</w:t>
      </w:r>
    </w:p>
    <w:p w:rsidR="00311A50" w:rsidRPr="002A4C2B" w:rsidRDefault="00311A50" w:rsidP="00311A50">
      <w:pPr>
        <w:ind w:left="1996" w:firstLine="164"/>
        <w:jc w:val="right"/>
        <w:rPr>
          <w:rFonts w:asciiTheme="majorHAnsi" w:eastAsia="Calibri" w:hAnsiTheme="majorHAnsi" w:cs="Times New Roman"/>
          <w:b/>
          <w:sz w:val="24"/>
          <w:szCs w:val="24"/>
          <w:lang w:val="it-IT" w:eastAsia="en-US"/>
        </w:rPr>
      </w:pPr>
      <w:r w:rsidRPr="002A4C2B">
        <w:rPr>
          <w:rFonts w:asciiTheme="majorHAnsi" w:eastAsia="Calibri" w:hAnsiTheme="majorHAnsi" w:cs="Times New Roman"/>
          <w:b/>
          <w:sz w:val="24"/>
          <w:szCs w:val="24"/>
          <w:lang w:val="it-IT" w:eastAsia="en-US"/>
        </w:rPr>
        <w:t xml:space="preserve">ALLEGATO B </w:t>
      </w:r>
    </w:p>
    <w:p w:rsidR="00311A50" w:rsidRPr="002A4C2B" w:rsidRDefault="00311A50" w:rsidP="000C3CF5">
      <w:pPr>
        <w:ind w:left="1276"/>
        <w:rPr>
          <w:rFonts w:asciiTheme="majorHAnsi" w:eastAsia="Calibri" w:hAnsiTheme="majorHAnsi" w:cs="Times New Roman"/>
          <w:b/>
          <w:sz w:val="24"/>
          <w:szCs w:val="24"/>
          <w:lang w:val="it-IT" w:eastAsia="en-US"/>
        </w:rPr>
      </w:pPr>
    </w:p>
    <w:p w:rsidR="00CF44D3" w:rsidRDefault="00311A50" w:rsidP="00311A50">
      <w:pPr>
        <w:ind w:left="1276"/>
        <w:jc w:val="center"/>
        <w:rPr>
          <w:rFonts w:asciiTheme="majorHAnsi" w:eastAsia="Calibri" w:hAnsiTheme="majorHAnsi" w:cs="Times New Roman"/>
          <w:b/>
          <w:sz w:val="24"/>
          <w:szCs w:val="24"/>
          <w:lang w:val="it-IT" w:eastAsia="en-US"/>
        </w:rPr>
      </w:pPr>
      <w:r w:rsidRPr="002A4C2B">
        <w:rPr>
          <w:rFonts w:asciiTheme="majorHAnsi" w:eastAsia="Calibri" w:hAnsiTheme="majorHAnsi" w:cs="Times New Roman"/>
          <w:b/>
          <w:sz w:val="24"/>
          <w:szCs w:val="24"/>
          <w:lang w:val="it-IT" w:eastAsia="en-US"/>
        </w:rPr>
        <w:t>PROPOSTA PROGETTUALE -</w:t>
      </w:r>
      <w:r w:rsidR="00BD72DA" w:rsidRPr="002A4C2B">
        <w:rPr>
          <w:rFonts w:asciiTheme="majorHAnsi" w:eastAsia="Calibri" w:hAnsiTheme="majorHAnsi" w:cs="Times New Roman"/>
          <w:b/>
          <w:sz w:val="24"/>
          <w:szCs w:val="24"/>
          <w:lang w:val="it-IT" w:eastAsia="en-US"/>
        </w:rPr>
        <w:t xml:space="preserve"> BANDO: “100% SUAP” </w:t>
      </w:r>
      <w:r w:rsidR="00CF44D3">
        <w:rPr>
          <w:rFonts w:asciiTheme="majorHAnsi" w:eastAsia="Calibri" w:hAnsiTheme="majorHAnsi" w:cs="Times New Roman"/>
          <w:b/>
          <w:sz w:val="24"/>
          <w:szCs w:val="24"/>
          <w:lang w:val="it-IT" w:eastAsia="en-US"/>
        </w:rPr>
        <w:t xml:space="preserve">- </w:t>
      </w:r>
      <w:r w:rsidR="00CF44D3" w:rsidRPr="002A4C2B">
        <w:rPr>
          <w:rFonts w:asciiTheme="majorHAnsi" w:eastAsia="Calibri" w:hAnsiTheme="majorHAnsi" w:cs="Times New Roman"/>
          <w:b/>
          <w:sz w:val="24"/>
          <w:szCs w:val="24"/>
          <w:lang w:val="it-IT" w:eastAsia="en-US"/>
        </w:rPr>
        <w:t>Edizione 2020</w:t>
      </w:r>
    </w:p>
    <w:p w:rsidR="00CF44D3" w:rsidRDefault="00CF44D3" w:rsidP="00311A50">
      <w:pPr>
        <w:ind w:left="1276"/>
        <w:jc w:val="center"/>
        <w:rPr>
          <w:rFonts w:asciiTheme="majorHAnsi" w:eastAsia="Calibri" w:hAnsiTheme="majorHAnsi" w:cs="Times New Roman"/>
          <w:b/>
          <w:sz w:val="24"/>
          <w:szCs w:val="24"/>
          <w:lang w:val="it-IT" w:eastAsia="en-US"/>
        </w:rPr>
      </w:pPr>
      <w:r>
        <w:rPr>
          <w:rFonts w:asciiTheme="majorHAnsi" w:eastAsia="Calibri" w:hAnsiTheme="majorHAnsi" w:cs="Times New Roman"/>
          <w:b/>
          <w:sz w:val="24"/>
          <w:szCs w:val="24"/>
          <w:lang w:val="it-IT" w:eastAsia="en-US"/>
        </w:rPr>
        <w:t>UNIONCAMERE LOMBARDIA – REGIONE LOMBARDIA</w:t>
      </w:r>
    </w:p>
    <w:p w:rsidR="00BD72DA" w:rsidRPr="002A4C2B" w:rsidRDefault="00BD72DA" w:rsidP="00311A50">
      <w:pPr>
        <w:ind w:left="1276"/>
        <w:jc w:val="center"/>
        <w:rPr>
          <w:rFonts w:asciiTheme="majorHAnsi" w:eastAsia="Calibri" w:hAnsiTheme="majorHAnsi" w:cs="Times New Roman"/>
          <w:b/>
          <w:sz w:val="24"/>
          <w:szCs w:val="24"/>
          <w:lang w:val="it-IT" w:eastAsia="en-US"/>
        </w:rPr>
      </w:pPr>
      <w:bookmarkStart w:id="0" w:name="_GoBack"/>
      <w:bookmarkEnd w:id="0"/>
      <w:r w:rsidRPr="002A4C2B">
        <w:rPr>
          <w:rFonts w:asciiTheme="majorHAnsi" w:eastAsia="Calibri" w:hAnsiTheme="majorHAnsi" w:cs="Times New Roman"/>
          <w:b/>
          <w:sz w:val="24"/>
          <w:szCs w:val="24"/>
          <w:lang w:val="it-IT" w:eastAsia="en-US"/>
        </w:rPr>
        <w:t>MISURE DI INCENTIVAZIONE E DI ACCOMPAGNAMENTO PER L’AVVIO DEL PERCORSO DI ADEGUAMENTO DEGLI SPORTELLI UNICI PER LE ATTIVITA’ PRODUTTIVE AGLI INDIRIZZI REGIONALI (D.G.R. n. 1702/2019)</w:t>
      </w:r>
      <w:r w:rsidR="00D94176" w:rsidRPr="002A4C2B">
        <w:rPr>
          <w:rFonts w:asciiTheme="majorHAnsi" w:eastAsia="Calibri" w:hAnsiTheme="majorHAnsi" w:cs="Times New Roman"/>
          <w:b/>
          <w:sz w:val="24"/>
          <w:szCs w:val="24"/>
          <w:lang w:val="it-IT" w:eastAsia="en-US"/>
        </w:rPr>
        <w:t xml:space="preserve"> – </w:t>
      </w:r>
    </w:p>
    <w:p w:rsidR="00BD72DA" w:rsidRPr="002A4C2B" w:rsidRDefault="00BD72DA" w:rsidP="000C3CF5">
      <w:pPr>
        <w:ind w:left="1276"/>
        <w:rPr>
          <w:rFonts w:asciiTheme="majorHAnsi" w:eastAsia="Calibri" w:hAnsiTheme="majorHAnsi" w:cs="Times New Roman"/>
          <w:b/>
          <w:sz w:val="24"/>
          <w:szCs w:val="24"/>
          <w:lang w:val="it-IT" w:eastAsia="en-US"/>
        </w:rPr>
      </w:pPr>
    </w:p>
    <w:p w:rsidR="00311A50" w:rsidRPr="002A4C2B" w:rsidRDefault="00311A50" w:rsidP="000C3CF5">
      <w:pPr>
        <w:ind w:left="1276"/>
        <w:rPr>
          <w:rFonts w:asciiTheme="majorHAnsi" w:hAnsiTheme="majorHAnsi"/>
          <w:sz w:val="24"/>
          <w:szCs w:val="24"/>
        </w:rPr>
      </w:pPr>
    </w:p>
    <w:p w:rsidR="00311A50" w:rsidRPr="002A4C2B" w:rsidRDefault="00311A50" w:rsidP="00311A50">
      <w:pPr>
        <w:spacing w:line="252" w:lineRule="auto"/>
        <w:rPr>
          <w:rFonts w:asciiTheme="majorHAnsi" w:eastAsia="Calibri" w:hAnsiTheme="majorHAnsi" w:cs="Times New Roman"/>
          <w:sz w:val="24"/>
          <w:szCs w:val="24"/>
          <w:lang w:val="it-IT" w:eastAsia="en-US"/>
        </w:rPr>
      </w:pPr>
    </w:p>
    <w:tbl>
      <w:tblPr>
        <w:tblStyle w:val="Grigliatabella1"/>
        <w:tblW w:w="0" w:type="auto"/>
        <w:tblLook w:val="04A0"/>
      </w:tblPr>
      <w:tblGrid>
        <w:gridCol w:w="4871"/>
        <w:gridCol w:w="4871"/>
      </w:tblGrid>
      <w:tr w:rsidR="00311A50" w:rsidRPr="002A4C2B" w:rsidTr="00CE4A5F">
        <w:tc>
          <w:tcPr>
            <w:tcW w:w="4871" w:type="dxa"/>
          </w:tcPr>
          <w:p w:rsidR="00311A50" w:rsidRPr="002A4C2B" w:rsidRDefault="00311A50" w:rsidP="00311A50">
            <w:pPr>
              <w:spacing w:after="160" w:line="252" w:lineRule="auto"/>
              <w:rPr>
                <w:rFonts w:asciiTheme="majorHAnsi" w:hAnsiTheme="majorHAnsi"/>
                <w:sz w:val="24"/>
                <w:szCs w:val="24"/>
              </w:rPr>
            </w:pPr>
            <w:r w:rsidRPr="002A4C2B">
              <w:rPr>
                <w:rFonts w:asciiTheme="majorHAnsi" w:hAnsiTheme="majorHAnsi"/>
                <w:sz w:val="24"/>
                <w:szCs w:val="24"/>
              </w:rPr>
              <w:t>Cognome</w:t>
            </w:r>
          </w:p>
        </w:tc>
        <w:tc>
          <w:tcPr>
            <w:tcW w:w="4871" w:type="dxa"/>
          </w:tcPr>
          <w:p w:rsidR="00311A50" w:rsidRPr="002A4C2B" w:rsidRDefault="00311A50" w:rsidP="00311A50">
            <w:pPr>
              <w:spacing w:after="160" w:line="252" w:lineRule="auto"/>
              <w:rPr>
                <w:rFonts w:asciiTheme="majorHAnsi" w:hAnsiTheme="majorHAnsi"/>
                <w:sz w:val="24"/>
                <w:szCs w:val="24"/>
              </w:rPr>
            </w:pPr>
            <w:r w:rsidRPr="002A4C2B">
              <w:rPr>
                <w:rFonts w:asciiTheme="majorHAnsi" w:hAnsiTheme="majorHAnsi"/>
                <w:sz w:val="24"/>
                <w:szCs w:val="24"/>
              </w:rPr>
              <w:t>Nome</w:t>
            </w:r>
          </w:p>
        </w:tc>
      </w:tr>
      <w:tr w:rsidR="00311A50" w:rsidRPr="002A4C2B" w:rsidTr="00CE4A5F">
        <w:tc>
          <w:tcPr>
            <w:tcW w:w="4871" w:type="dxa"/>
          </w:tcPr>
          <w:p w:rsidR="00311A50" w:rsidRPr="002A4C2B" w:rsidRDefault="00311A50" w:rsidP="00311A50">
            <w:pPr>
              <w:spacing w:after="160" w:line="252" w:lineRule="auto"/>
              <w:rPr>
                <w:rFonts w:asciiTheme="majorHAnsi" w:hAnsiTheme="majorHAnsi"/>
                <w:sz w:val="24"/>
                <w:szCs w:val="24"/>
              </w:rPr>
            </w:pPr>
            <w:r w:rsidRPr="002A4C2B">
              <w:rPr>
                <w:rFonts w:asciiTheme="majorHAnsi" w:hAnsiTheme="majorHAnsi"/>
                <w:sz w:val="24"/>
                <w:szCs w:val="24"/>
              </w:rPr>
              <w:t>Cod. Fiscale</w:t>
            </w:r>
          </w:p>
        </w:tc>
        <w:tc>
          <w:tcPr>
            <w:tcW w:w="4871" w:type="dxa"/>
          </w:tcPr>
          <w:p w:rsidR="00311A50" w:rsidRPr="002A4C2B" w:rsidRDefault="00311A50" w:rsidP="00311A50">
            <w:pPr>
              <w:spacing w:after="160" w:line="252" w:lineRule="auto"/>
              <w:rPr>
                <w:rFonts w:asciiTheme="majorHAnsi" w:hAnsiTheme="majorHAnsi"/>
                <w:sz w:val="24"/>
                <w:szCs w:val="24"/>
              </w:rPr>
            </w:pPr>
            <w:r w:rsidRPr="002A4C2B">
              <w:rPr>
                <w:rFonts w:asciiTheme="majorHAnsi" w:hAnsiTheme="majorHAnsi"/>
                <w:sz w:val="24"/>
                <w:szCs w:val="24"/>
              </w:rPr>
              <w:t>Nato a</w:t>
            </w:r>
          </w:p>
        </w:tc>
      </w:tr>
    </w:tbl>
    <w:p w:rsidR="00311A50" w:rsidRPr="002A4C2B" w:rsidRDefault="00311A50" w:rsidP="00311A50">
      <w:pPr>
        <w:spacing w:line="252" w:lineRule="auto"/>
        <w:rPr>
          <w:rFonts w:asciiTheme="majorHAnsi" w:eastAsia="Calibri" w:hAnsiTheme="majorHAnsi" w:cs="Times New Roman"/>
          <w:sz w:val="24"/>
          <w:szCs w:val="24"/>
          <w:lang w:val="it-IT" w:eastAsia="en-US"/>
        </w:rPr>
      </w:pPr>
    </w:p>
    <w:p w:rsidR="00311A50" w:rsidRPr="002A4C2B" w:rsidRDefault="00311A50" w:rsidP="00311A50">
      <w:pPr>
        <w:spacing w:line="252" w:lineRule="auto"/>
        <w:jc w:val="center"/>
        <w:rPr>
          <w:rFonts w:asciiTheme="majorHAnsi" w:eastAsia="Calibri" w:hAnsiTheme="majorHAnsi" w:cs="Times New Roman"/>
          <w:b/>
          <w:sz w:val="24"/>
          <w:szCs w:val="24"/>
          <w:lang w:val="it-IT" w:eastAsia="en-US"/>
        </w:rPr>
      </w:pPr>
    </w:p>
    <w:p w:rsidR="00311A50" w:rsidRPr="002A4C2B" w:rsidRDefault="00311A50" w:rsidP="00311A50">
      <w:pPr>
        <w:spacing w:line="252" w:lineRule="auto"/>
        <w:rPr>
          <w:rFonts w:asciiTheme="majorHAnsi" w:eastAsia="Calibri" w:hAnsiTheme="majorHAnsi" w:cs="Times New Roman"/>
          <w:b/>
          <w:sz w:val="24"/>
          <w:szCs w:val="24"/>
          <w:lang w:val="it-IT" w:eastAsia="en-US"/>
        </w:rPr>
      </w:pPr>
      <w:r w:rsidRPr="002A4C2B">
        <w:rPr>
          <w:rFonts w:asciiTheme="majorHAnsi" w:eastAsia="Calibri" w:hAnsiTheme="majorHAnsi" w:cs="Times New Roman"/>
          <w:bCs/>
          <w:sz w:val="24"/>
          <w:szCs w:val="24"/>
          <w:lang w:val="it-IT" w:eastAsia="en-US"/>
        </w:rPr>
        <w:t>In qualità di: Legale Rappresentante</w:t>
      </w:r>
      <w:r w:rsidRPr="002A4C2B">
        <w:rPr>
          <w:rFonts w:asciiTheme="majorHAnsi" w:eastAsia="Calibri" w:hAnsiTheme="majorHAnsi" w:cs="Times New Roman"/>
          <w:sz w:val="24"/>
          <w:szCs w:val="24"/>
          <w:lang w:val="it-IT" w:eastAsia="en-US"/>
        </w:rPr>
        <w:t xml:space="preserve">  di</w:t>
      </w:r>
      <w:r w:rsidRPr="002A4C2B">
        <w:rPr>
          <w:rFonts w:asciiTheme="majorHAnsi" w:eastAsia="Calibri" w:hAnsiTheme="majorHAnsi" w:cs="Times New Roman"/>
          <w:b/>
          <w:sz w:val="24"/>
          <w:szCs w:val="24"/>
          <w:lang w:val="it-IT" w:eastAsia="en-US"/>
        </w:rPr>
        <w:t xml:space="preserve">   ………………………………………….. </w:t>
      </w:r>
    </w:p>
    <w:p w:rsidR="004B5196" w:rsidRPr="002A4C2B" w:rsidRDefault="004B5196" w:rsidP="004B5196">
      <w:pPr>
        <w:ind w:left="6480" w:firstLine="720"/>
        <w:jc w:val="both"/>
        <w:rPr>
          <w:rFonts w:asciiTheme="majorHAnsi" w:hAnsiTheme="majorHAnsi"/>
          <w:sz w:val="24"/>
          <w:szCs w:val="24"/>
        </w:rPr>
      </w:pPr>
    </w:p>
    <w:p w:rsidR="004B5196" w:rsidRPr="002A4C2B" w:rsidRDefault="004B5196" w:rsidP="004B5196">
      <w:pPr>
        <w:ind w:left="1440"/>
        <w:jc w:val="both"/>
        <w:rPr>
          <w:rFonts w:asciiTheme="majorHAnsi" w:hAnsiTheme="majorHAnsi"/>
          <w:sz w:val="24"/>
          <w:szCs w:val="24"/>
        </w:rPr>
      </w:pPr>
    </w:p>
    <w:p w:rsidR="004B5196" w:rsidRPr="002A4C2B" w:rsidRDefault="00325191" w:rsidP="004B5196">
      <w:pPr>
        <w:ind w:left="6480" w:firstLine="720"/>
        <w:jc w:val="both"/>
        <w:rPr>
          <w:rFonts w:asciiTheme="majorHAnsi" w:hAnsiTheme="majorHAnsi"/>
          <w:b/>
          <w:sz w:val="24"/>
          <w:szCs w:val="24"/>
        </w:rPr>
      </w:pPr>
      <w:r w:rsidRPr="002A4C2B">
        <w:rPr>
          <w:rFonts w:asciiTheme="majorHAnsi" w:hAnsiTheme="majorHAnsi"/>
          <w:b/>
          <w:sz w:val="24"/>
          <w:szCs w:val="24"/>
        </w:rPr>
        <w:t xml:space="preserve">SI IMPEGNA </w:t>
      </w:r>
    </w:p>
    <w:p w:rsidR="004B5196" w:rsidRPr="002A4C2B" w:rsidRDefault="004B5196" w:rsidP="004B5196">
      <w:pPr>
        <w:ind w:firstLine="360"/>
        <w:jc w:val="both"/>
        <w:rPr>
          <w:rFonts w:asciiTheme="majorHAnsi" w:hAnsiTheme="majorHAnsi"/>
          <w:sz w:val="24"/>
          <w:szCs w:val="24"/>
        </w:rPr>
      </w:pPr>
    </w:p>
    <w:p w:rsidR="001E1EA3" w:rsidRPr="002A4C2B" w:rsidRDefault="00325191" w:rsidP="00A86892">
      <w:pPr>
        <w:jc w:val="both"/>
        <w:rPr>
          <w:rFonts w:asciiTheme="majorHAnsi" w:hAnsiTheme="majorHAnsi"/>
          <w:sz w:val="24"/>
          <w:szCs w:val="24"/>
        </w:rPr>
      </w:pPr>
      <w:r w:rsidRPr="002A4C2B">
        <w:rPr>
          <w:rFonts w:asciiTheme="majorHAnsi" w:hAnsiTheme="majorHAnsi"/>
          <w:sz w:val="24"/>
          <w:szCs w:val="24"/>
        </w:rPr>
        <w:t>a realizzare</w:t>
      </w:r>
      <w:r w:rsidR="004B5196" w:rsidRPr="002A4C2B">
        <w:rPr>
          <w:rFonts w:asciiTheme="majorHAnsi" w:hAnsiTheme="majorHAnsi"/>
          <w:sz w:val="24"/>
          <w:szCs w:val="24"/>
        </w:rPr>
        <w:t>:</w:t>
      </w:r>
    </w:p>
    <w:p w:rsidR="0029397A" w:rsidRPr="002A4C2B" w:rsidRDefault="0029397A" w:rsidP="0029397A">
      <w:pPr>
        <w:numPr>
          <w:ilvl w:val="0"/>
          <w:numId w:val="31"/>
        </w:numPr>
        <w:pBdr>
          <w:top w:val="nil"/>
          <w:left w:val="nil"/>
          <w:bottom w:val="nil"/>
          <w:right w:val="nil"/>
          <w:between w:val="nil"/>
        </w:pBdr>
        <w:shd w:val="clear" w:color="auto" w:fill="FFFFFF"/>
        <w:spacing w:before="120" w:after="120" w:line="240" w:lineRule="auto"/>
        <w:ind w:left="850" w:hanging="357"/>
        <w:jc w:val="both"/>
        <w:rPr>
          <w:rFonts w:asciiTheme="majorHAnsi" w:hAnsiTheme="majorHAnsi"/>
          <w:sz w:val="24"/>
          <w:szCs w:val="24"/>
        </w:rPr>
      </w:pPr>
      <w:r w:rsidRPr="002A4C2B">
        <w:rPr>
          <w:rFonts w:asciiTheme="majorHAnsi" w:hAnsiTheme="majorHAnsi"/>
          <w:b/>
          <w:sz w:val="24"/>
          <w:szCs w:val="24"/>
        </w:rPr>
        <w:lastRenderedPageBreak/>
        <w:t>A.1 - PROGETTO DI START UP</w:t>
      </w:r>
      <w:r w:rsidRPr="002A4C2B">
        <w:rPr>
          <w:rFonts w:asciiTheme="majorHAnsi" w:hAnsiTheme="majorHAnsi"/>
          <w:sz w:val="24"/>
          <w:szCs w:val="24"/>
        </w:rPr>
        <w:t xml:space="preserve">: nuova gestione associata del servizio SUAP o istituzione di una nuova aggregazione, per l’esercizio in forma associata del servizio, che dovrà servire un bacino di utenza non inferiore alle 1000 imprese (tenuto conto della fase di prima applicazione della DGR n. 1702/2019). Sono ammissibili anche i progetti formalizzati a partire dal 1° gennaio 2020; </w:t>
      </w:r>
    </w:p>
    <w:p w:rsidR="0029397A" w:rsidRPr="002A4C2B" w:rsidRDefault="0029397A" w:rsidP="0029397A">
      <w:pPr>
        <w:numPr>
          <w:ilvl w:val="0"/>
          <w:numId w:val="31"/>
        </w:numPr>
        <w:pBdr>
          <w:top w:val="nil"/>
          <w:left w:val="nil"/>
          <w:bottom w:val="nil"/>
          <w:right w:val="nil"/>
          <w:between w:val="nil"/>
        </w:pBdr>
        <w:shd w:val="clear" w:color="auto" w:fill="FFFFFF"/>
        <w:spacing w:before="120" w:after="120" w:line="240" w:lineRule="auto"/>
        <w:ind w:left="850" w:hanging="357"/>
        <w:jc w:val="both"/>
        <w:rPr>
          <w:rFonts w:asciiTheme="majorHAnsi" w:hAnsiTheme="majorHAnsi"/>
          <w:sz w:val="24"/>
          <w:szCs w:val="24"/>
        </w:rPr>
      </w:pPr>
      <w:r w:rsidRPr="002A4C2B">
        <w:rPr>
          <w:rFonts w:asciiTheme="majorHAnsi" w:hAnsiTheme="majorHAnsi"/>
          <w:b/>
          <w:sz w:val="24"/>
          <w:szCs w:val="24"/>
        </w:rPr>
        <w:t>A.2 - PROGETTO DI CONSOLIDAMENTO</w:t>
      </w:r>
      <w:r w:rsidRPr="002A4C2B">
        <w:rPr>
          <w:rFonts w:asciiTheme="majorHAnsi" w:hAnsiTheme="majorHAnsi"/>
          <w:sz w:val="24"/>
          <w:szCs w:val="24"/>
        </w:rPr>
        <w:t>: aggregazione già esistente, che gestisce il servizio in forma aggregata, con un bacino di utenza non inferiore alle 1000 imprese (tenuto conto della fase di prima applicazione della DGR n. 1702/2019);</w:t>
      </w:r>
    </w:p>
    <w:p w:rsidR="0029397A" w:rsidRPr="002A4C2B" w:rsidRDefault="0029397A" w:rsidP="0029397A">
      <w:pPr>
        <w:numPr>
          <w:ilvl w:val="0"/>
          <w:numId w:val="31"/>
        </w:numPr>
        <w:pBdr>
          <w:top w:val="nil"/>
          <w:left w:val="nil"/>
          <w:bottom w:val="nil"/>
          <w:right w:val="nil"/>
          <w:between w:val="nil"/>
        </w:pBdr>
        <w:shd w:val="clear" w:color="auto" w:fill="FFFFFF"/>
        <w:spacing w:before="120" w:after="160" w:line="240" w:lineRule="auto"/>
        <w:ind w:left="850" w:hanging="357"/>
        <w:jc w:val="both"/>
        <w:rPr>
          <w:rFonts w:asciiTheme="majorHAnsi" w:hAnsiTheme="majorHAnsi"/>
          <w:sz w:val="24"/>
          <w:szCs w:val="24"/>
        </w:rPr>
      </w:pPr>
      <w:r w:rsidRPr="002A4C2B">
        <w:rPr>
          <w:rFonts w:asciiTheme="majorHAnsi" w:hAnsiTheme="majorHAnsi"/>
          <w:b/>
          <w:sz w:val="24"/>
          <w:szCs w:val="24"/>
        </w:rPr>
        <w:t>A.3 - PROGETTO DI SVILUPPO</w:t>
      </w:r>
      <w:r w:rsidRPr="002A4C2B">
        <w:rPr>
          <w:rFonts w:asciiTheme="majorHAnsi" w:hAnsiTheme="majorHAnsi"/>
          <w:sz w:val="24"/>
          <w:szCs w:val="24"/>
        </w:rPr>
        <w:t xml:space="preserve">: adesione di nuovi Comuni (formalizzata a partire dal 1° gennaio 2020) all’aggregazione già esistente, che gestisce il servizio in forma aggregata, </w:t>
      </w:r>
      <w:r w:rsidR="00893993" w:rsidRPr="002A4C2B">
        <w:rPr>
          <w:rFonts w:asciiTheme="majorHAnsi" w:hAnsiTheme="majorHAnsi"/>
          <w:sz w:val="24"/>
          <w:szCs w:val="24"/>
        </w:rPr>
        <w:t xml:space="preserve">raggiungendo un </w:t>
      </w:r>
      <w:r w:rsidRPr="002A4C2B">
        <w:rPr>
          <w:rFonts w:asciiTheme="majorHAnsi" w:hAnsiTheme="majorHAnsi"/>
          <w:sz w:val="24"/>
          <w:szCs w:val="24"/>
        </w:rPr>
        <w:t>bacino di utenza non inferiore alle 1000 imprese (tenuto conto della fase di prima attuazione della DGR n. 1702/2019).</w:t>
      </w:r>
    </w:p>
    <w:p w:rsidR="0029397A" w:rsidRPr="002A4C2B" w:rsidRDefault="0029397A" w:rsidP="0029397A">
      <w:pPr>
        <w:numPr>
          <w:ilvl w:val="0"/>
          <w:numId w:val="31"/>
        </w:numPr>
        <w:pBdr>
          <w:top w:val="nil"/>
          <w:left w:val="nil"/>
          <w:bottom w:val="nil"/>
          <w:right w:val="nil"/>
          <w:between w:val="nil"/>
        </w:pBdr>
        <w:shd w:val="clear" w:color="auto" w:fill="FFFFFF"/>
        <w:spacing w:before="120" w:after="120" w:line="240" w:lineRule="auto"/>
        <w:ind w:left="850" w:hanging="357"/>
        <w:jc w:val="both"/>
        <w:rPr>
          <w:rFonts w:asciiTheme="majorHAnsi" w:hAnsiTheme="majorHAnsi"/>
          <w:sz w:val="24"/>
          <w:szCs w:val="24"/>
        </w:rPr>
      </w:pPr>
      <w:r w:rsidRPr="002A4C2B">
        <w:rPr>
          <w:rFonts w:asciiTheme="majorHAnsi" w:hAnsiTheme="majorHAnsi"/>
          <w:b/>
          <w:sz w:val="24"/>
          <w:szCs w:val="24"/>
        </w:rPr>
        <w:t>B.1 - PROGETTO DI CONSOLIDAMENTO e MIGLIORAMENTO</w:t>
      </w:r>
      <w:r w:rsidRPr="002A4C2B">
        <w:rPr>
          <w:rFonts w:asciiTheme="majorHAnsi" w:hAnsiTheme="majorHAnsi"/>
          <w:sz w:val="24"/>
          <w:szCs w:val="24"/>
        </w:rPr>
        <w:t xml:space="preserve"> del servizio offerto dal SUAP comunale, gestito in forma singola, rispetto ai parametri, definiti dalla Linee Guida, di cui alla DGR n. 1702/2019. Comuni che gestiscono il servizio in forma singola solo se con un bacino di utenza superiore alle 2000 imprese attive.</w:t>
      </w:r>
    </w:p>
    <w:p w:rsidR="0029397A" w:rsidRPr="002A4C2B" w:rsidRDefault="0029397A" w:rsidP="0029397A">
      <w:pPr>
        <w:numPr>
          <w:ilvl w:val="0"/>
          <w:numId w:val="31"/>
        </w:numPr>
        <w:pBdr>
          <w:top w:val="nil"/>
          <w:left w:val="nil"/>
          <w:bottom w:val="nil"/>
          <w:right w:val="nil"/>
          <w:between w:val="nil"/>
        </w:pBdr>
        <w:shd w:val="clear" w:color="auto" w:fill="FFFFFF"/>
        <w:spacing w:before="120" w:after="120" w:line="240" w:lineRule="auto"/>
        <w:ind w:left="850" w:hanging="357"/>
        <w:jc w:val="both"/>
        <w:rPr>
          <w:rFonts w:asciiTheme="majorHAnsi" w:hAnsiTheme="majorHAnsi"/>
          <w:sz w:val="24"/>
          <w:szCs w:val="24"/>
        </w:rPr>
      </w:pPr>
      <w:r w:rsidRPr="002A4C2B">
        <w:rPr>
          <w:rFonts w:asciiTheme="majorHAnsi" w:hAnsiTheme="majorHAnsi"/>
          <w:b/>
          <w:sz w:val="24"/>
          <w:szCs w:val="24"/>
        </w:rPr>
        <w:t>B.2 - PROGETTO DI MIGLIORAMENTO E GESTIONE ASSOCIATA CONVENZIONATA</w:t>
      </w:r>
      <w:r w:rsidRPr="002A4C2B">
        <w:rPr>
          <w:rFonts w:asciiTheme="majorHAnsi" w:hAnsiTheme="majorHAnsi"/>
          <w:sz w:val="24"/>
          <w:szCs w:val="24"/>
        </w:rPr>
        <w:t xml:space="preserve"> del servizio SUAP (ai sensi dell’art. 4, comma 5 del D.P.R. n. 160/2010), in collaborazione con la Camera di Commercio territorialmente competente. </w:t>
      </w:r>
    </w:p>
    <w:p w:rsidR="001E1EA3" w:rsidRPr="002A4C2B" w:rsidRDefault="00325191">
      <w:pPr>
        <w:ind w:left="1440"/>
        <w:jc w:val="both"/>
        <w:rPr>
          <w:rFonts w:asciiTheme="majorHAnsi" w:hAnsiTheme="majorHAnsi"/>
          <w:sz w:val="24"/>
          <w:szCs w:val="24"/>
        </w:rPr>
      </w:pPr>
      <w:r w:rsidRPr="002A4C2B">
        <w:rPr>
          <w:rFonts w:asciiTheme="majorHAnsi" w:hAnsiTheme="majorHAnsi"/>
          <w:sz w:val="24"/>
          <w:szCs w:val="24"/>
        </w:rPr>
        <w:t xml:space="preserve">     </w:t>
      </w:r>
    </w:p>
    <w:tbl>
      <w:tblPr>
        <w:tblStyle w:val="Grigliatabella"/>
        <w:tblW w:w="0" w:type="auto"/>
        <w:tblInd w:w="708" w:type="dxa"/>
        <w:tblLook w:val="04A0"/>
      </w:tblPr>
      <w:tblGrid>
        <w:gridCol w:w="14961"/>
      </w:tblGrid>
      <w:tr w:rsidR="004B5196" w:rsidRPr="002A4C2B" w:rsidTr="004B5196">
        <w:tc>
          <w:tcPr>
            <w:tcW w:w="15696" w:type="dxa"/>
          </w:tcPr>
          <w:p w:rsidR="004B5196" w:rsidRPr="002A4C2B" w:rsidRDefault="004B5196" w:rsidP="004B5196">
            <w:pPr>
              <w:jc w:val="both"/>
              <w:rPr>
                <w:rFonts w:asciiTheme="majorHAnsi" w:hAnsiTheme="majorHAnsi"/>
                <w:sz w:val="24"/>
                <w:szCs w:val="24"/>
              </w:rPr>
            </w:pPr>
          </w:p>
          <w:p w:rsidR="000D54DF" w:rsidRPr="002A4C2B" w:rsidRDefault="000D54DF" w:rsidP="004B5196">
            <w:pPr>
              <w:jc w:val="both"/>
              <w:rPr>
                <w:rFonts w:asciiTheme="majorHAnsi" w:hAnsiTheme="majorHAnsi"/>
                <w:sz w:val="24"/>
                <w:szCs w:val="24"/>
              </w:rPr>
            </w:pPr>
            <w:r w:rsidRPr="002A4C2B">
              <w:rPr>
                <w:rFonts w:asciiTheme="majorHAnsi" w:hAnsiTheme="majorHAnsi"/>
                <w:sz w:val="24"/>
                <w:szCs w:val="24"/>
              </w:rPr>
              <w:t>Breve descrizione della proposta progettuale scelta</w:t>
            </w:r>
          </w:p>
          <w:p w:rsidR="004B5196" w:rsidRPr="002A4C2B" w:rsidRDefault="004B5196" w:rsidP="004B5196">
            <w:pPr>
              <w:jc w:val="both"/>
              <w:rPr>
                <w:rFonts w:asciiTheme="majorHAnsi" w:hAnsiTheme="majorHAnsi"/>
                <w:sz w:val="24"/>
                <w:szCs w:val="24"/>
              </w:rPr>
            </w:pPr>
            <w:r w:rsidRPr="002A4C2B">
              <w:rPr>
                <w:rFonts w:asciiTheme="majorHAnsi" w:hAnsiTheme="majorHAnsi"/>
                <w:sz w:val="24"/>
                <w:szCs w:val="24"/>
              </w:rPr>
              <w:t>Campo libero - max 1000 caratteri</w:t>
            </w:r>
          </w:p>
          <w:p w:rsidR="004B5196" w:rsidRPr="002A4C2B" w:rsidRDefault="004B5196" w:rsidP="004B5196">
            <w:pPr>
              <w:jc w:val="both"/>
              <w:rPr>
                <w:rFonts w:asciiTheme="majorHAnsi" w:hAnsiTheme="majorHAnsi"/>
                <w:sz w:val="24"/>
                <w:szCs w:val="24"/>
              </w:rPr>
            </w:pPr>
          </w:p>
          <w:p w:rsidR="004B5196" w:rsidRPr="002A4C2B" w:rsidRDefault="004B5196" w:rsidP="004B5196">
            <w:pPr>
              <w:jc w:val="both"/>
              <w:rPr>
                <w:rFonts w:asciiTheme="majorHAnsi" w:hAnsiTheme="majorHAnsi"/>
                <w:sz w:val="24"/>
                <w:szCs w:val="24"/>
              </w:rPr>
            </w:pPr>
          </w:p>
          <w:p w:rsidR="004B5196" w:rsidRPr="002A4C2B" w:rsidRDefault="004B5196" w:rsidP="004B5196">
            <w:pPr>
              <w:jc w:val="both"/>
              <w:rPr>
                <w:rFonts w:asciiTheme="majorHAnsi" w:hAnsiTheme="majorHAnsi"/>
                <w:sz w:val="24"/>
                <w:szCs w:val="24"/>
              </w:rPr>
            </w:pPr>
          </w:p>
          <w:p w:rsidR="004B5196" w:rsidRPr="002A4C2B" w:rsidRDefault="004B5196" w:rsidP="004B5196">
            <w:pPr>
              <w:jc w:val="both"/>
              <w:rPr>
                <w:rFonts w:asciiTheme="majorHAnsi" w:hAnsiTheme="majorHAnsi"/>
                <w:sz w:val="24"/>
                <w:szCs w:val="24"/>
              </w:rPr>
            </w:pPr>
          </w:p>
          <w:p w:rsidR="004B5196" w:rsidRPr="002A4C2B" w:rsidRDefault="004B5196" w:rsidP="004B5196">
            <w:pPr>
              <w:jc w:val="both"/>
              <w:rPr>
                <w:rFonts w:asciiTheme="majorHAnsi" w:hAnsiTheme="majorHAnsi"/>
                <w:sz w:val="24"/>
                <w:szCs w:val="24"/>
              </w:rPr>
            </w:pPr>
          </w:p>
          <w:p w:rsidR="004B5196" w:rsidRPr="002A4C2B" w:rsidRDefault="004B5196" w:rsidP="004B5196">
            <w:pPr>
              <w:jc w:val="both"/>
              <w:rPr>
                <w:rFonts w:asciiTheme="majorHAnsi" w:hAnsiTheme="majorHAnsi"/>
                <w:sz w:val="24"/>
                <w:szCs w:val="24"/>
              </w:rPr>
            </w:pPr>
          </w:p>
        </w:tc>
      </w:tr>
    </w:tbl>
    <w:p w:rsidR="004B5196" w:rsidRPr="002A4C2B" w:rsidRDefault="004B5196">
      <w:pPr>
        <w:ind w:left="1440"/>
        <w:jc w:val="both"/>
        <w:rPr>
          <w:rFonts w:asciiTheme="majorHAnsi" w:hAnsiTheme="majorHAnsi"/>
          <w:sz w:val="24"/>
          <w:szCs w:val="24"/>
        </w:rPr>
      </w:pPr>
    </w:p>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SI IMPEGNA</w:t>
      </w:r>
    </w:p>
    <w:p w:rsidR="0029397A" w:rsidRPr="002A4C2B" w:rsidRDefault="0029397A" w:rsidP="0029397A">
      <w:pPr>
        <w:spacing w:after="160" w:line="240" w:lineRule="auto"/>
        <w:jc w:val="both"/>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al raggiungimento dei parametri di seguito indicati, in conformità alla normativa di riferimento e agli “Indirizzi regionali in materia di sportelli unici per le attività produttive (SUAP)” di cui alla D.g.r. 1702/2019:</w:t>
      </w:r>
    </w:p>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     </w:t>
      </w:r>
    </w:p>
    <w:tbl>
      <w:tblPr>
        <w:tblW w:w="0" w:type="auto"/>
        <w:tblCellMar>
          <w:top w:w="15" w:type="dxa"/>
          <w:left w:w="15" w:type="dxa"/>
          <w:bottom w:w="15" w:type="dxa"/>
          <w:right w:w="15" w:type="dxa"/>
        </w:tblCellMar>
        <w:tblLook w:val="04A0"/>
      </w:tblPr>
      <w:tblGrid>
        <w:gridCol w:w="504"/>
        <w:gridCol w:w="3893"/>
        <w:gridCol w:w="4424"/>
        <w:gridCol w:w="1656"/>
        <w:gridCol w:w="2143"/>
        <w:gridCol w:w="368"/>
        <w:gridCol w:w="1957"/>
        <w:gridCol w:w="236"/>
        <w:gridCol w:w="236"/>
        <w:gridCol w:w="236"/>
      </w:tblGrid>
      <w:tr w:rsidR="0029397A" w:rsidRPr="002A4C2B" w:rsidTr="0000107F">
        <w:trPr>
          <w:gridAfter w:val="3"/>
          <w:trHeight w:val="1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IMPEGNO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STRUMENTO DI VERIFICA IN FASE DI MONITORAGGIO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PUNTEGGIO PER NUOVO PARAMETRO DA CONSEGUIRE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PUNTEGGIO PER PARAMETRO GIÀ POSSEDUTO - MANTENIMENTO</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29397A" w:rsidRPr="002A4C2B" w:rsidTr="0029397A">
        <w:trPr>
          <w:gridAfter w:val="3"/>
          <w:trHeight w:val="73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29397A" w:rsidRPr="002A4C2B" w:rsidRDefault="0029397A" w:rsidP="0029397A">
            <w:pPr>
              <w:numPr>
                <w:ilvl w:val="0"/>
                <w:numId w:val="6"/>
              </w:numPr>
              <w:spacing w:after="160" w:line="240" w:lineRule="auto"/>
              <w:textAlignment w:val="baseline"/>
              <w:rPr>
                <w:rFonts w:asciiTheme="majorHAnsi" w:eastAsia="Times New Roman" w:hAnsiTheme="majorHAnsi" w:cs="Times New Roman"/>
                <w:b/>
                <w:bCs/>
                <w:color w:val="000000"/>
                <w:sz w:val="24"/>
                <w:szCs w:val="24"/>
                <w:lang w:val="it-IT"/>
              </w:rPr>
            </w:pPr>
            <w:r w:rsidRPr="002A4C2B">
              <w:rPr>
                <w:rFonts w:asciiTheme="majorHAnsi" w:eastAsia="Times New Roman" w:hAnsiTheme="majorHAnsi" w:cs="Times New Roman"/>
                <w:b/>
                <w:bCs/>
                <w:color w:val="000000"/>
                <w:sz w:val="24"/>
                <w:szCs w:val="24"/>
                <w:lang w:val="it-IT"/>
              </w:rPr>
              <w:t>PARAMETRI ORGANIZZATIVI  </w:t>
            </w: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0/30</w:t>
            </w: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0" w:type="dxa"/>
              <w:left w:w="115" w:type="dxa"/>
              <w:bottom w:w="0" w:type="dxa"/>
              <w:right w:w="115" w:type="dxa"/>
            </w:tcMar>
            <w:hideMark/>
          </w:tcPr>
          <w:p w:rsidR="0029397A" w:rsidRPr="002A4C2B" w:rsidRDefault="0029397A" w:rsidP="0029397A">
            <w:pPr>
              <w:spacing w:before="200"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0/10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29397A" w:rsidRPr="002A4C2B" w:rsidRDefault="0029397A" w:rsidP="00686659">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 xml:space="preserve">SCADENZA TEMPORALE PER IL </w:t>
            </w:r>
            <w:r w:rsidR="00686659" w:rsidRPr="002A4C2B">
              <w:rPr>
                <w:rFonts w:asciiTheme="majorHAnsi" w:eastAsia="Times New Roman" w:hAnsiTheme="majorHAnsi" w:cs="Times New Roman"/>
                <w:b/>
                <w:bCs/>
                <w:color w:val="000000"/>
                <w:sz w:val="24"/>
                <w:szCs w:val="24"/>
                <w:lang w:val="it-IT"/>
              </w:rPr>
              <w:t>RAG</w:t>
            </w:r>
            <w:r w:rsidRPr="002A4C2B">
              <w:rPr>
                <w:rFonts w:asciiTheme="majorHAnsi" w:eastAsia="Times New Roman" w:hAnsiTheme="majorHAnsi" w:cs="Times New Roman"/>
                <w:b/>
                <w:bCs/>
                <w:color w:val="000000"/>
                <w:sz w:val="24"/>
                <w:szCs w:val="24"/>
                <w:lang w:val="it-IT"/>
              </w:rPr>
              <w:t>GIUNGIMENTO DEL PARAMETRO </w:t>
            </w:r>
          </w:p>
        </w:tc>
      </w:tr>
      <w:tr w:rsidR="00686659" w:rsidRPr="002A4C2B" w:rsidTr="0029397A">
        <w:trPr>
          <w:gridAfter w:val="3"/>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1.1</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ASSICURARE L’AUTONOMIA ORGANIZZATIVA DELLO SPORTELLO UNICO PER LE ATTIVITÀ PRODUTTIVE RISPETTO ALL’ORGANIZZAZIONE INTERNA DEL COMUNE</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lastRenderedPageBreak/>
              <w:t>Riferimenti normativi:</w:t>
            </w:r>
          </w:p>
          <w:p w:rsidR="0029397A" w:rsidRPr="002A4C2B" w:rsidRDefault="0029397A" w:rsidP="0029397A">
            <w:pPr>
              <w:numPr>
                <w:ilvl w:val="0"/>
                <w:numId w:val="7"/>
              </w:numPr>
              <w:spacing w:after="160" w:line="240" w:lineRule="auto"/>
              <w:ind w:left="502"/>
              <w:textAlignment w:val="baseline"/>
              <w:rPr>
                <w:rFonts w:asciiTheme="majorHAnsi" w:eastAsia="Times New Roman" w:hAnsiTheme="majorHAnsi" w:cs="Times New Roman"/>
                <w:color w:val="000000"/>
                <w:sz w:val="24"/>
                <w:szCs w:val="24"/>
                <w:lang w:val="it-IT"/>
              </w:rPr>
            </w:pPr>
            <w:r w:rsidRPr="002A4C2B">
              <w:rPr>
                <w:rFonts w:asciiTheme="majorHAnsi" w:eastAsia="Times New Roman" w:hAnsiTheme="majorHAnsi" w:cs="Times New Roman"/>
                <w:i/>
                <w:iCs/>
                <w:color w:val="000000"/>
                <w:sz w:val="24"/>
                <w:szCs w:val="24"/>
                <w:lang w:val="it-IT"/>
              </w:rPr>
              <w:t xml:space="preserve">“Indirizzi regionali in materia di Sportelli Unici per le Attività Produttive (SUAP)” - Linee guida di attuazione dell’art. 7 della l.r. n. 11/2014: Cap. 4, </w:t>
            </w:r>
            <w:r w:rsidRPr="002A4C2B">
              <w:rPr>
                <w:rFonts w:asciiTheme="majorHAnsi" w:eastAsia="Times New Roman" w:hAnsiTheme="majorHAnsi"/>
                <w:color w:val="000000"/>
                <w:sz w:val="24"/>
                <w:szCs w:val="24"/>
                <w:lang w:val="it-IT"/>
              </w:rPr>
              <w:t xml:space="preserve">§ </w:t>
            </w:r>
            <w:r w:rsidRPr="002A4C2B">
              <w:rPr>
                <w:rFonts w:asciiTheme="majorHAnsi" w:eastAsia="Times New Roman" w:hAnsiTheme="majorHAnsi" w:cs="Times New Roman"/>
                <w:i/>
                <w:iCs/>
                <w:color w:val="000000"/>
                <w:sz w:val="24"/>
                <w:szCs w:val="24"/>
                <w:lang w:val="it-IT"/>
              </w:rPr>
              <w:t>4.1, D.g.r. 3 giugno 2019, n. 1702.</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lastRenderedPageBreak/>
              <w:t xml:space="preserve"> ATTO AMMINISTRATIVO DI COSTITUZIONE DELL’UFFICIO SUAP - REGOLAMENTO - ORGANIGRAMMA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10</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3"/>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1.2</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DIMENSIONARE L’ORGANICO DELLO SPORTELLO UNICO PER LE ATTIVITÀ PRODUTTIVE IN RAPPORTO AL BACINO IMPRENDITORIALE DI RIFERIMENTO:</w:t>
            </w:r>
          </w:p>
          <w:p w:rsidR="0029397A" w:rsidRPr="002A4C2B" w:rsidRDefault="0029397A" w:rsidP="0029397A">
            <w:pPr>
              <w:numPr>
                <w:ilvl w:val="0"/>
                <w:numId w:val="8"/>
              </w:numPr>
              <w:spacing w:line="240" w:lineRule="auto"/>
              <w:textAlignment w:val="baseline"/>
              <w:rPr>
                <w:rFonts w:asciiTheme="majorHAnsi" w:eastAsia="Times New Roman" w:hAnsiTheme="majorHAnsi" w:cs="Times New Roman"/>
                <w:color w:val="000000"/>
                <w:sz w:val="24"/>
                <w:szCs w:val="24"/>
                <w:lang w:val="it-IT"/>
              </w:rPr>
            </w:pPr>
            <w:r w:rsidRPr="002A4C2B">
              <w:rPr>
                <w:rFonts w:asciiTheme="majorHAnsi" w:eastAsia="Times New Roman" w:hAnsiTheme="majorHAnsi" w:cs="Times New Roman"/>
                <w:color w:val="000000"/>
                <w:sz w:val="24"/>
                <w:szCs w:val="24"/>
                <w:lang w:val="it-IT"/>
              </w:rPr>
              <w:t>ALMENO 1 FTE FINO A 1.500 IMPRESE;</w:t>
            </w:r>
          </w:p>
          <w:p w:rsidR="0029397A" w:rsidRPr="002A4C2B" w:rsidRDefault="0029397A" w:rsidP="0029397A">
            <w:pPr>
              <w:numPr>
                <w:ilvl w:val="0"/>
                <w:numId w:val="8"/>
              </w:numPr>
              <w:spacing w:line="240" w:lineRule="auto"/>
              <w:textAlignment w:val="baseline"/>
              <w:rPr>
                <w:rFonts w:asciiTheme="majorHAnsi" w:eastAsia="Times New Roman" w:hAnsiTheme="majorHAnsi" w:cs="Times New Roman"/>
                <w:color w:val="000000"/>
                <w:sz w:val="24"/>
                <w:szCs w:val="24"/>
                <w:lang w:val="it-IT"/>
              </w:rPr>
            </w:pPr>
            <w:r w:rsidRPr="002A4C2B">
              <w:rPr>
                <w:rFonts w:asciiTheme="majorHAnsi" w:eastAsia="Times New Roman" w:hAnsiTheme="majorHAnsi" w:cs="Times New Roman"/>
                <w:color w:val="000000"/>
                <w:sz w:val="24"/>
                <w:szCs w:val="24"/>
                <w:lang w:val="it-IT"/>
              </w:rPr>
              <w:t>ALMENO 2 FTE TRA LE 1.501 E 4.000 IMPRESE;</w:t>
            </w:r>
          </w:p>
          <w:p w:rsidR="0029397A" w:rsidRPr="002A4C2B" w:rsidRDefault="0029397A" w:rsidP="0029397A">
            <w:pPr>
              <w:numPr>
                <w:ilvl w:val="0"/>
                <w:numId w:val="8"/>
              </w:numPr>
              <w:spacing w:after="160" w:line="240" w:lineRule="auto"/>
              <w:textAlignment w:val="baseline"/>
              <w:rPr>
                <w:rFonts w:asciiTheme="majorHAnsi" w:eastAsia="Times New Roman" w:hAnsiTheme="majorHAnsi" w:cs="Times New Roman"/>
                <w:color w:val="000000"/>
                <w:sz w:val="24"/>
                <w:szCs w:val="24"/>
                <w:lang w:val="it-IT"/>
              </w:rPr>
            </w:pPr>
            <w:r w:rsidRPr="002A4C2B">
              <w:rPr>
                <w:rFonts w:asciiTheme="majorHAnsi" w:eastAsia="Times New Roman" w:hAnsiTheme="majorHAnsi" w:cs="Times New Roman"/>
                <w:color w:val="000000"/>
                <w:sz w:val="24"/>
                <w:szCs w:val="24"/>
                <w:lang w:val="it-IT"/>
              </w:rPr>
              <w:t>ALMENO 3 FTE OLTRE LE 4.001 IMPRESE.</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 xml:space="preserve">N.B. il dimensionamento dell’organico fa riferimento agli “Indirizzi regionali in materia di Sportelli Unici per le Attività Produttive (SUAP)” di cui alla D.g.r. </w:t>
            </w:r>
            <w:r w:rsidRPr="002A4C2B">
              <w:rPr>
                <w:rFonts w:asciiTheme="majorHAnsi" w:eastAsia="Times New Roman" w:hAnsiTheme="majorHAnsi" w:cs="Times New Roman"/>
                <w:i/>
                <w:iCs/>
                <w:color w:val="000000"/>
                <w:sz w:val="24"/>
                <w:szCs w:val="24"/>
                <w:lang w:val="it-IT"/>
              </w:rPr>
              <w:lastRenderedPageBreak/>
              <w:t>1702/2019</w:t>
            </w:r>
          </w:p>
          <w:p w:rsidR="0029397A" w:rsidRPr="002A4C2B" w:rsidRDefault="0029397A" w:rsidP="0029397A">
            <w:pPr>
              <w:spacing w:line="240" w:lineRule="auto"/>
              <w:rPr>
                <w:rFonts w:asciiTheme="majorHAnsi" w:eastAsia="Times New Roman" w:hAnsiTheme="majorHAnsi" w:cs="Times New Roman"/>
                <w:sz w:val="24"/>
                <w:szCs w:val="24"/>
                <w:lang w:val="it-IT"/>
              </w:rPr>
            </w:pP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9"/>
              </w:numPr>
              <w:spacing w:after="160" w:line="240" w:lineRule="auto"/>
              <w:ind w:left="502"/>
              <w:textAlignment w:val="baseline"/>
              <w:rPr>
                <w:rFonts w:asciiTheme="majorHAnsi" w:eastAsia="Times New Roman" w:hAnsiTheme="majorHAnsi" w:cs="Times New Roman"/>
                <w:color w:val="000000"/>
                <w:sz w:val="24"/>
                <w:szCs w:val="24"/>
                <w:lang w:val="it-IT"/>
              </w:rPr>
            </w:pPr>
            <w:r w:rsidRPr="002A4C2B">
              <w:rPr>
                <w:rFonts w:asciiTheme="majorHAnsi" w:eastAsia="Times New Roman" w:hAnsiTheme="majorHAnsi" w:cs="Times New Roman"/>
                <w:i/>
                <w:iCs/>
                <w:color w:val="000000"/>
                <w:sz w:val="24"/>
                <w:szCs w:val="24"/>
                <w:lang w:val="it-IT"/>
              </w:rPr>
              <w:t xml:space="preserve">“Indirizzi regionali in materia di Sportelli Unici per le Attività Produttive (SUAP)” - Linee guida di attuazione dell’art. 7 della l.r. n. 11/2014: Cap. 4, </w:t>
            </w:r>
            <w:r w:rsidRPr="002A4C2B">
              <w:rPr>
                <w:rFonts w:asciiTheme="majorHAnsi" w:eastAsia="Times New Roman" w:hAnsiTheme="majorHAnsi"/>
                <w:color w:val="000000"/>
                <w:sz w:val="24"/>
                <w:szCs w:val="24"/>
                <w:lang w:val="it-IT"/>
              </w:rPr>
              <w:t xml:space="preserve">§ </w:t>
            </w:r>
            <w:r w:rsidRPr="002A4C2B">
              <w:rPr>
                <w:rFonts w:asciiTheme="majorHAnsi" w:eastAsia="Times New Roman" w:hAnsiTheme="majorHAnsi" w:cs="Times New Roman"/>
                <w:i/>
                <w:iCs/>
                <w:color w:val="000000"/>
                <w:sz w:val="24"/>
                <w:szCs w:val="24"/>
                <w:lang w:val="it-IT"/>
              </w:rPr>
              <w:t>4.3, D.g.r. 3 giugno 2019, n. 1702</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lastRenderedPageBreak/>
              <w:t>NUOVI ATTI ORGANIZZATIVI (PERSONALE ASSEGNATO/TRASFERITO/COMANDATO AL SUAP CON DECLARATORIA DELLE FUNZIONI)</w:t>
            </w:r>
          </w:p>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5</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686659" w:rsidRPr="002A4C2B" w:rsidTr="0029397A">
        <w:trPr>
          <w:gridAfter w:val="3"/>
          <w:trHeight w:val="5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686659" w:rsidRPr="002A4C2B" w:rsidTr="0029397A">
        <w:trPr>
          <w:gridAfter w:val="3"/>
          <w:trHeight w:val="5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686659" w:rsidRPr="002A4C2B" w:rsidTr="0029397A">
        <w:trPr>
          <w:gridAfter w:val="3"/>
          <w:trHeight w:val="62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3"/>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lastRenderedPageBreak/>
              <w:t>1.3</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NOMINARE IL RESPONSABILE DEL SUAP</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10"/>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D.P.R. n. 160/2010: art. 4, c. 4;</w:t>
            </w:r>
          </w:p>
          <w:p w:rsidR="0029397A" w:rsidRPr="002A4C2B" w:rsidRDefault="0029397A" w:rsidP="0029397A">
            <w:pPr>
              <w:numPr>
                <w:ilvl w:val="0"/>
                <w:numId w:val="10"/>
              </w:numPr>
              <w:spacing w:after="160"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 xml:space="preserve">“Indirizzi regionali in materia di Sportelli Unici per le Attività Produttive (SUAP)” - Linee guida di attuazione dell’art. 7 della l.r. n. 11/2014: Cap. 4, </w:t>
            </w:r>
            <w:r w:rsidRPr="002A4C2B">
              <w:rPr>
                <w:rFonts w:asciiTheme="majorHAnsi" w:eastAsia="Times New Roman" w:hAnsiTheme="majorHAnsi"/>
                <w:i/>
                <w:iCs/>
                <w:color w:val="000000"/>
                <w:sz w:val="24"/>
                <w:szCs w:val="24"/>
                <w:lang w:val="it-IT"/>
              </w:rPr>
              <w:t xml:space="preserve">§ </w:t>
            </w:r>
            <w:r w:rsidRPr="002A4C2B">
              <w:rPr>
                <w:rFonts w:asciiTheme="majorHAnsi" w:eastAsia="Times New Roman" w:hAnsiTheme="majorHAnsi" w:cs="Times New Roman"/>
                <w:i/>
                <w:iCs/>
                <w:color w:val="000000"/>
                <w:sz w:val="24"/>
                <w:szCs w:val="24"/>
                <w:lang w:val="it-IT"/>
              </w:rPr>
              <w:t>4.3, D.g.r. 3 giugno 2019, n. 1702</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ATTO DI NOMINA</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5</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686659" w:rsidRPr="002A4C2B" w:rsidTr="0000107F">
        <w:trPr>
          <w:gridAfter w:val="3"/>
          <w:trHeight w:val="33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3"/>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1.4</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 xml:space="preserve">AGGIORNARE LA SEZIONE </w:t>
            </w:r>
            <w:r w:rsidRPr="002A4C2B">
              <w:rPr>
                <w:rFonts w:asciiTheme="majorHAnsi" w:eastAsia="Times New Roman" w:hAnsiTheme="majorHAnsi" w:cs="Times New Roman"/>
                <w:color w:val="000000"/>
                <w:sz w:val="24"/>
                <w:szCs w:val="24"/>
                <w:lang w:val="it-IT"/>
              </w:rPr>
              <w:lastRenderedPageBreak/>
              <w:t>“ANAGRAFICA” E “IDENTIFICATIVA” DEL PORTALE NAZIONALE IMPRESAINUNGIORNO.GOV.IT CON I DATI RICHIESTI PER L’ACCREDITAMENTO AL MISE</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11"/>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D.P.R. n. 160/2010: art. 4, c. 10;</w:t>
            </w:r>
          </w:p>
          <w:p w:rsidR="0029397A" w:rsidRPr="002A4C2B" w:rsidRDefault="0029397A" w:rsidP="0029397A">
            <w:pPr>
              <w:numPr>
                <w:ilvl w:val="0"/>
                <w:numId w:val="11"/>
              </w:numPr>
              <w:spacing w:after="160"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D.P.R. n. 160/2010: art. 4, Sez. 1, Allegato Tecnico.</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lastRenderedPageBreak/>
              <w:t>PORTALE IIUG + SITO COMUNE/SUAP</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5</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686659" w:rsidRPr="002A4C2B" w:rsidTr="0000107F">
        <w:trPr>
          <w:gridAfter w:val="3"/>
          <w:trHeight w:val="33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3"/>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1.5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GARANTIRE LA PARTECIPAZIONE DEL PERSONALE DELL’UFFICIO SUAP A CORSI DI FORMAZIONE ANNUALI PER L’AGGIORNAMENTO SULLA NORMATIVA DI SETTORE E SUI PROCEDIMENTI DI COMPETENZA DEL SUAP (ANNUALITÀ 2020-2022)</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12"/>
              </w:numPr>
              <w:spacing w:after="160" w:line="240" w:lineRule="auto"/>
              <w:ind w:left="502"/>
              <w:textAlignment w:val="baseline"/>
              <w:rPr>
                <w:rFonts w:asciiTheme="majorHAnsi" w:eastAsia="Times New Roman" w:hAnsiTheme="majorHAnsi" w:cs="Times New Roman"/>
                <w:color w:val="000000"/>
                <w:sz w:val="24"/>
                <w:szCs w:val="24"/>
                <w:lang w:val="it-IT"/>
              </w:rPr>
            </w:pPr>
            <w:r w:rsidRPr="002A4C2B">
              <w:rPr>
                <w:rFonts w:asciiTheme="majorHAnsi" w:eastAsia="Times New Roman" w:hAnsiTheme="majorHAnsi" w:cs="Times New Roman"/>
                <w:i/>
                <w:iCs/>
                <w:color w:val="000000"/>
                <w:sz w:val="24"/>
                <w:szCs w:val="24"/>
                <w:lang w:val="it-IT"/>
              </w:rPr>
              <w:t xml:space="preserve">“Indirizzi regionali in materia di Sportelli Unici per le Attività Produttive (SUAP)” - Linee guida di attuazione dell’art. 7 della l.r. n. 11/2014: Cap. 4, </w:t>
            </w:r>
            <w:r w:rsidRPr="002A4C2B">
              <w:rPr>
                <w:rFonts w:asciiTheme="majorHAnsi" w:eastAsia="Times New Roman" w:hAnsiTheme="majorHAnsi"/>
                <w:color w:val="000000"/>
                <w:sz w:val="24"/>
                <w:szCs w:val="24"/>
                <w:lang w:val="it-IT"/>
              </w:rPr>
              <w:t xml:space="preserve">§ </w:t>
            </w:r>
            <w:r w:rsidRPr="002A4C2B">
              <w:rPr>
                <w:rFonts w:asciiTheme="majorHAnsi" w:eastAsia="Times New Roman" w:hAnsiTheme="majorHAnsi" w:cs="Times New Roman"/>
                <w:i/>
                <w:iCs/>
                <w:color w:val="000000"/>
                <w:sz w:val="24"/>
                <w:szCs w:val="24"/>
                <w:lang w:val="it-IT"/>
              </w:rPr>
              <w:t xml:space="preserve">4.2, D.g.r. </w:t>
            </w:r>
            <w:r w:rsidRPr="002A4C2B">
              <w:rPr>
                <w:rFonts w:asciiTheme="majorHAnsi" w:eastAsia="Times New Roman" w:hAnsiTheme="majorHAnsi" w:cs="Times New Roman"/>
                <w:i/>
                <w:iCs/>
                <w:color w:val="000000"/>
                <w:sz w:val="24"/>
                <w:szCs w:val="24"/>
                <w:lang w:val="it-IT"/>
              </w:rPr>
              <w:lastRenderedPageBreak/>
              <w:t>3 giugno 2019, n. 1702</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lastRenderedPageBreak/>
              <w:t>ATTI ORGANIZZATIVI LEGATI A PERCORSI FORMATIVI - ATTESTATI</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29397A" w:rsidRPr="002A4C2B" w:rsidTr="0029397A">
        <w:trPr>
          <w:gridAfter w:val="3"/>
          <w:trHeight w:val="82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29397A" w:rsidRPr="002A4C2B" w:rsidRDefault="0029397A" w:rsidP="0029397A">
            <w:pPr>
              <w:numPr>
                <w:ilvl w:val="0"/>
                <w:numId w:val="13"/>
              </w:numPr>
              <w:spacing w:after="160" w:line="240" w:lineRule="auto"/>
              <w:textAlignment w:val="baseline"/>
              <w:rPr>
                <w:rFonts w:asciiTheme="majorHAnsi" w:eastAsia="Times New Roman" w:hAnsiTheme="majorHAnsi" w:cs="Times New Roman"/>
                <w:b/>
                <w:bCs/>
                <w:color w:val="000000"/>
                <w:sz w:val="24"/>
                <w:szCs w:val="24"/>
                <w:lang w:val="it-IT"/>
              </w:rPr>
            </w:pPr>
            <w:r w:rsidRPr="002A4C2B">
              <w:rPr>
                <w:rFonts w:asciiTheme="majorHAnsi" w:eastAsia="Times New Roman" w:hAnsiTheme="majorHAnsi" w:cs="Times New Roman"/>
                <w:b/>
                <w:bCs/>
                <w:color w:val="000000"/>
                <w:sz w:val="24"/>
                <w:szCs w:val="24"/>
                <w:lang w:val="it-IT"/>
              </w:rPr>
              <w:lastRenderedPageBreak/>
              <w:t>PARAMETRI TECNOLOGICI</w:t>
            </w: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0/30</w:t>
            </w: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0" w:type="dxa"/>
              <w:left w:w="115" w:type="dxa"/>
              <w:bottom w:w="0" w:type="dxa"/>
              <w:right w:w="115" w:type="dxa"/>
            </w:tcMar>
            <w:hideMark/>
          </w:tcPr>
          <w:p w:rsidR="0029397A" w:rsidRPr="002A4C2B" w:rsidRDefault="0029397A" w:rsidP="0029397A">
            <w:pPr>
              <w:spacing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0/14</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3"/>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2.1</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ADOTTARE LA MODULISTICA APPROVATA IN CONFERENZA UNIFICATA SECONDO GLI SCHEMI DATI XML E LE SUCCESSIVE MODIFICHE REGIONALI</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14"/>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art. 24, c. 3, D.L. 24 giugno 2014, n. 90, convertito in L. 11 agosto 2014, n. 114;</w:t>
            </w:r>
          </w:p>
          <w:p w:rsidR="0029397A" w:rsidRPr="002A4C2B" w:rsidRDefault="0029397A" w:rsidP="0029397A">
            <w:pPr>
              <w:numPr>
                <w:ilvl w:val="0"/>
                <w:numId w:val="14"/>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art. 2, c. 1, d.lgs. 30 giugno 2016, n. 126;</w:t>
            </w:r>
          </w:p>
          <w:p w:rsidR="0029397A" w:rsidRPr="002A4C2B" w:rsidRDefault="0029397A" w:rsidP="0029397A">
            <w:pPr>
              <w:numPr>
                <w:ilvl w:val="0"/>
                <w:numId w:val="14"/>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art. 66, c. 8, 13 dicembre 2017, n. 217;</w:t>
            </w:r>
          </w:p>
          <w:p w:rsidR="0029397A" w:rsidRPr="002A4C2B" w:rsidRDefault="0029397A" w:rsidP="0029397A">
            <w:pPr>
              <w:numPr>
                <w:ilvl w:val="0"/>
                <w:numId w:val="14"/>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 xml:space="preserve">“Indirizzi regionali in materia di Sportelli Unici per le Attività Produttive (SUAP)” - Linee guida di attuazione dell’art. 7 della l.r. n. 11/2014: Cap. 2, </w:t>
            </w:r>
            <w:r w:rsidRPr="002A4C2B">
              <w:rPr>
                <w:rFonts w:asciiTheme="majorHAnsi" w:eastAsia="Times New Roman" w:hAnsiTheme="majorHAnsi"/>
                <w:color w:val="000000"/>
                <w:sz w:val="24"/>
                <w:szCs w:val="24"/>
                <w:lang w:val="it-IT"/>
              </w:rPr>
              <w:t xml:space="preserve">§ </w:t>
            </w:r>
            <w:r w:rsidRPr="002A4C2B">
              <w:rPr>
                <w:rFonts w:asciiTheme="majorHAnsi" w:eastAsia="Times New Roman" w:hAnsiTheme="majorHAnsi" w:cs="Times New Roman"/>
                <w:i/>
                <w:iCs/>
                <w:color w:val="000000"/>
                <w:sz w:val="24"/>
                <w:szCs w:val="24"/>
                <w:lang w:val="it-IT"/>
              </w:rPr>
              <w:t>2.2, D.g.r. 3 giugno 2019, n. 1702</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SITO INTERNET COMUNALE/SUAP</w:t>
            </w:r>
          </w:p>
        </w:tc>
        <w:tc>
          <w:tcPr>
            <w:tcW w:w="0" w:type="auto"/>
            <w:gridSpan w:val="2"/>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3"/>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lastRenderedPageBreak/>
              <w:t>2.2</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ALIMENTARE AUTOMATICAMENTE E CONTESTUALMENTE IL FASCICOLO INFORMATICO DI IMPRESA</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15"/>
              </w:numPr>
              <w:spacing w:line="240" w:lineRule="auto"/>
              <w:ind w:left="502"/>
              <w:textAlignment w:val="baseline"/>
              <w:rPr>
                <w:rFonts w:asciiTheme="majorHAnsi" w:eastAsia="Times New Roman" w:hAnsiTheme="majorHAnsi" w:cs="Times New Roman"/>
                <w:i/>
                <w:iCs/>
                <w:color w:val="000000"/>
                <w:sz w:val="24"/>
                <w:szCs w:val="24"/>
                <w:lang w:val="en-US"/>
              </w:rPr>
            </w:pPr>
            <w:r w:rsidRPr="002A4C2B">
              <w:rPr>
                <w:rFonts w:asciiTheme="majorHAnsi" w:eastAsia="Times New Roman" w:hAnsiTheme="majorHAnsi" w:cs="Times New Roman"/>
                <w:i/>
                <w:iCs/>
                <w:color w:val="000000"/>
                <w:sz w:val="24"/>
                <w:szCs w:val="24"/>
                <w:lang w:val="en-US"/>
              </w:rPr>
              <w:t>art. 6, l.r. 19 febbraio 2014, n. 11;</w:t>
            </w:r>
          </w:p>
          <w:p w:rsidR="0029397A" w:rsidRPr="002A4C2B" w:rsidRDefault="0029397A" w:rsidP="0029397A">
            <w:pPr>
              <w:numPr>
                <w:ilvl w:val="0"/>
                <w:numId w:val="15"/>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D.g.r. 14 giugno 2015, n. 3591;</w:t>
            </w:r>
          </w:p>
          <w:p w:rsidR="0029397A" w:rsidRPr="002A4C2B" w:rsidRDefault="0029397A" w:rsidP="0029397A">
            <w:pPr>
              <w:numPr>
                <w:ilvl w:val="0"/>
                <w:numId w:val="15"/>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D.g.r. 11 aprile 2016, n. 5020;</w:t>
            </w:r>
          </w:p>
          <w:p w:rsidR="0029397A" w:rsidRPr="002A4C2B" w:rsidRDefault="0029397A" w:rsidP="0029397A">
            <w:pPr>
              <w:numPr>
                <w:ilvl w:val="0"/>
                <w:numId w:val="15"/>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 xml:space="preserve">“Indirizzi regionali in materia di Sportelli Unici per le Attività Produttive (SUAP)” - Linee guida di attuazione dell’art. 7 della l.r. n. 11/2014: Cap. 2, </w:t>
            </w:r>
            <w:r w:rsidRPr="002A4C2B">
              <w:rPr>
                <w:rFonts w:asciiTheme="majorHAnsi" w:eastAsia="Times New Roman" w:hAnsiTheme="majorHAnsi"/>
                <w:color w:val="000000"/>
                <w:sz w:val="24"/>
                <w:szCs w:val="24"/>
                <w:lang w:val="it-IT"/>
              </w:rPr>
              <w:t xml:space="preserve">§ </w:t>
            </w:r>
            <w:r w:rsidRPr="002A4C2B">
              <w:rPr>
                <w:rFonts w:asciiTheme="majorHAnsi" w:eastAsia="Times New Roman" w:hAnsiTheme="majorHAnsi" w:cs="Times New Roman"/>
                <w:i/>
                <w:iCs/>
                <w:color w:val="000000"/>
                <w:sz w:val="24"/>
                <w:szCs w:val="24"/>
                <w:lang w:val="it-IT"/>
              </w:rPr>
              <w:t>2.2, D.g.r. 3 giugno 2019, n. 1702.</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COMUNICAZIONE REA ALLA CCIAA</w:t>
            </w:r>
          </w:p>
        </w:tc>
        <w:tc>
          <w:tcPr>
            <w:tcW w:w="0" w:type="auto"/>
            <w:gridSpan w:val="2"/>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29397A" w:rsidRPr="002A4C2B" w:rsidTr="0000107F">
        <w:trPr>
          <w:gridAfter w:val="3"/>
          <w:trHeight w:val="92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3"/>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2.3</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GARANTIRE LA MODALITÀ DI PAGAMENTO ONLINE</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16"/>
              </w:numPr>
              <w:spacing w:line="240" w:lineRule="auto"/>
              <w:ind w:left="502"/>
              <w:textAlignment w:val="baseline"/>
              <w:rPr>
                <w:rFonts w:asciiTheme="majorHAnsi" w:eastAsia="Times New Roman" w:hAnsiTheme="majorHAnsi" w:cs="Times New Roman"/>
                <w:i/>
                <w:iCs/>
                <w:color w:val="000000"/>
                <w:sz w:val="24"/>
                <w:szCs w:val="24"/>
                <w:lang w:val="en-US"/>
              </w:rPr>
            </w:pPr>
            <w:r w:rsidRPr="002A4C2B">
              <w:rPr>
                <w:rFonts w:asciiTheme="majorHAnsi" w:eastAsia="Times New Roman" w:hAnsiTheme="majorHAnsi" w:cs="Times New Roman"/>
                <w:i/>
                <w:iCs/>
                <w:color w:val="000000"/>
                <w:sz w:val="24"/>
                <w:szCs w:val="24"/>
                <w:lang w:val="en-US"/>
              </w:rPr>
              <w:t>art. 5 , D.Lgs. 7 marzo 2005, n. 82;</w:t>
            </w:r>
          </w:p>
          <w:p w:rsidR="0029397A" w:rsidRPr="002A4C2B" w:rsidRDefault="0029397A" w:rsidP="0029397A">
            <w:pPr>
              <w:numPr>
                <w:ilvl w:val="0"/>
                <w:numId w:val="16"/>
              </w:numPr>
              <w:spacing w:line="240" w:lineRule="auto"/>
              <w:ind w:left="502"/>
              <w:textAlignment w:val="baseline"/>
              <w:rPr>
                <w:rFonts w:asciiTheme="majorHAnsi" w:eastAsia="Times New Roman" w:hAnsiTheme="majorHAnsi" w:cs="Times New Roman"/>
                <w:i/>
                <w:iCs/>
                <w:color w:val="000000"/>
                <w:sz w:val="24"/>
                <w:szCs w:val="24"/>
                <w:lang w:val="en-US"/>
              </w:rPr>
            </w:pPr>
            <w:r w:rsidRPr="002A4C2B">
              <w:rPr>
                <w:rFonts w:asciiTheme="majorHAnsi" w:eastAsia="Times New Roman" w:hAnsiTheme="majorHAnsi" w:cs="Times New Roman"/>
                <w:i/>
                <w:iCs/>
                <w:color w:val="000000"/>
                <w:sz w:val="24"/>
                <w:szCs w:val="24"/>
                <w:lang w:val="en-US"/>
              </w:rPr>
              <w:t>art. 15, c. 5 bis, D.L. 18 ottobre 2012, n. 179;</w:t>
            </w:r>
          </w:p>
          <w:p w:rsidR="0029397A" w:rsidRPr="002A4C2B" w:rsidRDefault="0029397A" w:rsidP="0029397A">
            <w:pPr>
              <w:numPr>
                <w:ilvl w:val="0"/>
                <w:numId w:val="16"/>
              </w:numPr>
              <w:spacing w:after="160"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 xml:space="preserve">Determina AGID n. 209/2018, G.U. serie generale 3 luglio </w:t>
            </w:r>
            <w:r w:rsidRPr="002A4C2B">
              <w:rPr>
                <w:rFonts w:asciiTheme="majorHAnsi" w:eastAsia="Times New Roman" w:hAnsiTheme="majorHAnsi" w:cs="Times New Roman"/>
                <w:i/>
                <w:iCs/>
                <w:color w:val="000000"/>
                <w:sz w:val="24"/>
                <w:szCs w:val="24"/>
                <w:lang w:val="it-IT"/>
              </w:rPr>
              <w:lastRenderedPageBreak/>
              <w:t>2018, n. 152.</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lastRenderedPageBreak/>
              <w:t>ATTO (ES. DETERMINA) COMUNALE DI ATTIVAZIONE CONNESSIONE CON PARTNER TECNOLOGICO</w:t>
            </w:r>
          </w:p>
        </w:tc>
        <w:tc>
          <w:tcPr>
            <w:tcW w:w="0" w:type="auto"/>
            <w:gridSpan w:val="2"/>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29397A"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29397A" w:rsidRPr="002A4C2B" w:rsidTr="0000107F">
        <w:trPr>
          <w:gridAfter w:val="3"/>
          <w:trHeight w:val="33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00107F">
        <w:trPr>
          <w:gridAfter w:val="3"/>
          <w:trHeight w:val="304"/>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lastRenderedPageBreak/>
              <w:t>2.4</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GESTIRE TUTTE LE ISTANZE DI COMPETENZA DEL SUAP IN MODALITÀ COMPLETAMENTE TELEMATICA (come da Regolamento comunale)</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17"/>
              </w:numPr>
              <w:spacing w:after="160"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art. 2, c. 2 e 3; art. 4, c. 1, 7 e 8; art. 5, c. 4 e 6 e art. 12, c.5 D.P.R. n. 160/2010</w:t>
            </w:r>
            <w:r w:rsidRPr="002A4C2B">
              <w:rPr>
                <w:rFonts w:asciiTheme="majorHAnsi" w:eastAsia="Times New Roman" w:hAnsiTheme="majorHAnsi" w:cs="Times New Roman"/>
                <w:color w:val="000000"/>
                <w:sz w:val="24"/>
                <w:szCs w:val="24"/>
                <w:lang w:val="it-IT"/>
              </w:rPr>
              <w:t>.</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REGOLAMENTO COMUNALE + REPORT PRATICHE GESTITE TELEMATICAMENTE</w:t>
            </w:r>
          </w:p>
        </w:tc>
        <w:tc>
          <w:tcPr>
            <w:tcW w:w="0" w:type="auto"/>
            <w:gridSpan w:val="2"/>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29397A" w:rsidRPr="002A4C2B" w:rsidTr="0000107F">
        <w:trPr>
          <w:gridAfter w:val="3"/>
          <w:trHeight w:val="3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29397A" w:rsidRPr="002A4C2B" w:rsidTr="0000107F">
        <w:trPr>
          <w:gridAfter w:val="3"/>
          <w:trHeight w:val="3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29397A" w:rsidRPr="002A4C2B" w:rsidTr="0000107F">
        <w:trPr>
          <w:gridAfter w:val="3"/>
          <w:trHeight w:val="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686659" w:rsidRPr="002A4C2B" w:rsidTr="0000107F">
        <w:trPr>
          <w:gridAfter w:val="3"/>
          <w:trHeight w:val="43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CONSERVARE LA DOCUMENTAZIONE A NORMA DI LEGGE</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18"/>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artt. 43-44, D.Lgs. 7 marzo 2005, n. 82;</w:t>
            </w:r>
          </w:p>
          <w:p w:rsidR="0029397A" w:rsidRPr="002A4C2B" w:rsidRDefault="0029397A" w:rsidP="0029397A">
            <w:pPr>
              <w:numPr>
                <w:ilvl w:val="0"/>
                <w:numId w:val="18"/>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“Indirizzi regionali in materia di Sportelli Unici per le Attività Produttive (SUAP)” - Linee guida di attuazione dell’art. 7 della l.r. n. 11/2014: Cap. 3, § 3.3, D.g.r. 3 giugno 2019, n. 1702.</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numPr>
                <w:ilvl w:val="0"/>
                <w:numId w:val="19"/>
              </w:numPr>
              <w:spacing w:line="240" w:lineRule="auto"/>
              <w:ind w:left="502"/>
              <w:textAlignment w:val="baseline"/>
              <w:rPr>
                <w:rFonts w:asciiTheme="majorHAnsi" w:eastAsia="Times New Roman" w:hAnsiTheme="majorHAnsi" w:cs="Times New Roman"/>
                <w:color w:val="000000"/>
                <w:sz w:val="24"/>
                <w:szCs w:val="24"/>
                <w:lang w:val="it-IT"/>
              </w:rPr>
            </w:pPr>
            <w:r w:rsidRPr="002A4C2B">
              <w:rPr>
                <w:rFonts w:asciiTheme="majorHAnsi" w:eastAsia="Times New Roman" w:hAnsiTheme="majorHAnsi" w:cs="Times New Roman"/>
                <w:i/>
                <w:iCs/>
                <w:color w:val="000000"/>
                <w:sz w:val="24"/>
                <w:szCs w:val="24"/>
                <w:lang w:val="it-IT"/>
              </w:rPr>
              <w:t>IIUG: VERIFICA SUL PORTALE;</w:t>
            </w:r>
          </w:p>
          <w:p w:rsidR="0029397A" w:rsidRPr="002A4C2B" w:rsidRDefault="0029397A" w:rsidP="0029397A">
            <w:pPr>
              <w:numPr>
                <w:ilvl w:val="0"/>
                <w:numId w:val="19"/>
              </w:numPr>
              <w:spacing w:after="160"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ALTRE PIATTAFORME: DELIBERA DEL COMUNE</w:t>
            </w:r>
          </w:p>
        </w:tc>
        <w:tc>
          <w:tcPr>
            <w:tcW w:w="0" w:type="auto"/>
            <w:gridSpan w:val="2"/>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29397A" w:rsidRPr="002A4C2B" w:rsidTr="0000107F">
        <w:trPr>
          <w:gridAfter w:val="3"/>
          <w:trHeight w:val="2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29397A" w:rsidRPr="002A4C2B" w:rsidTr="0000107F">
        <w:trPr>
          <w:gridAfter w:val="3"/>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29397A" w:rsidRPr="002A4C2B" w:rsidTr="0000107F">
        <w:trPr>
          <w:gridAfter w:val="3"/>
          <w:trHeight w:val="2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686659" w:rsidRPr="002A4C2B" w:rsidTr="0000107F">
        <w:trPr>
          <w:gridAfter w:val="3"/>
          <w:trHeight w:val="29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lastRenderedPageBreak/>
              <w:t>2.6</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UTILIZZARE UN SISTEMA DI PROTOCOLLAZIONE AUTOMATIZZATO AI SENSI DELL’ART. 7, ALL. TECNICO AL D.P.R. 160/2010</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20"/>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art. 53, D.P.R. n. 445/2000;</w:t>
            </w:r>
          </w:p>
          <w:p w:rsidR="0029397A" w:rsidRPr="002A4C2B" w:rsidRDefault="0029397A" w:rsidP="0029397A">
            <w:pPr>
              <w:numPr>
                <w:ilvl w:val="0"/>
                <w:numId w:val="20"/>
              </w:numPr>
              <w:spacing w:line="240" w:lineRule="auto"/>
              <w:ind w:left="502"/>
              <w:textAlignment w:val="baseline"/>
              <w:rPr>
                <w:rFonts w:asciiTheme="majorHAnsi" w:eastAsia="Times New Roman" w:hAnsiTheme="majorHAnsi" w:cs="Times New Roman"/>
                <w:i/>
                <w:iCs/>
                <w:color w:val="000000"/>
                <w:sz w:val="24"/>
                <w:szCs w:val="24"/>
                <w:lang w:val="en-US"/>
              </w:rPr>
            </w:pPr>
            <w:r w:rsidRPr="002A4C2B">
              <w:rPr>
                <w:rFonts w:asciiTheme="majorHAnsi" w:eastAsia="Times New Roman" w:hAnsiTheme="majorHAnsi" w:cs="Times New Roman"/>
                <w:i/>
                <w:iCs/>
                <w:color w:val="000000"/>
                <w:sz w:val="24"/>
                <w:szCs w:val="24"/>
                <w:lang w:val="en-US"/>
              </w:rPr>
              <w:t>art. 40 bis, D.Lgs. 7 marzo 2005, n. 89;</w:t>
            </w:r>
          </w:p>
          <w:p w:rsidR="0029397A" w:rsidRPr="002A4C2B" w:rsidRDefault="0029397A" w:rsidP="0029397A">
            <w:pPr>
              <w:numPr>
                <w:ilvl w:val="0"/>
                <w:numId w:val="20"/>
              </w:numPr>
              <w:spacing w:after="160"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art. 7, Allegato Tecnico D.P.R. n. 160/2010.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DELIBERA DEL COMUNE</w:t>
            </w:r>
          </w:p>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val="restart"/>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29397A" w:rsidRPr="002A4C2B" w:rsidTr="0000107F">
        <w:trPr>
          <w:gridAfter w:val="3"/>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29397A" w:rsidRPr="002A4C2B" w:rsidTr="0000107F">
        <w:trPr>
          <w:gridAfter w:val="3"/>
          <w:trHeight w:val="3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29397A" w:rsidRPr="002A4C2B" w:rsidTr="0000107F">
        <w:trPr>
          <w:gridAfter w:val="3"/>
          <w:trHeight w:val="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686659" w:rsidRPr="002A4C2B" w:rsidTr="0029397A">
        <w:trPr>
          <w:gridAfter w:val="3"/>
          <w:trHeight w:val="261"/>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2.7</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INTEROPERABILITÀ TRA FRONT END E BACK END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ATTO DI INCARICO PER LO SVILUPPO DEL SERVIZIO - EVENTUALE STUDIO DI FATTIBILITÀ</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8</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29397A" w:rsidRPr="002A4C2B" w:rsidRDefault="0029397A" w:rsidP="0029397A">
            <w:pPr>
              <w:spacing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686659" w:rsidRPr="002A4C2B" w:rsidTr="0029397A">
        <w:trPr>
          <w:gridAfter w:val="3"/>
          <w:trHeight w:val="2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686659" w:rsidRPr="002A4C2B" w:rsidTr="0029397A">
        <w:trPr>
          <w:gridAfter w:val="3"/>
          <w:trHeight w:val="2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686659" w:rsidRPr="002A4C2B" w:rsidTr="0029397A">
        <w:trPr>
          <w:gridAfter w:val="3"/>
          <w:trHeight w:val="2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686659" w:rsidRPr="002A4C2B" w:rsidTr="0029397A">
        <w:trPr>
          <w:gridAfter w:val="3"/>
          <w:trHeight w:val="45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2.8</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INDIRE LA CONFERENZA DEI SERVIZI TELEMATICA</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21"/>
              </w:numPr>
              <w:spacing w:line="240" w:lineRule="auto"/>
              <w:ind w:left="502"/>
              <w:textAlignment w:val="baseline"/>
              <w:rPr>
                <w:rFonts w:asciiTheme="majorHAnsi" w:eastAsia="Times New Roman" w:hAnsiTheme="majorHAnsi" w:cs="Times New Roman"/>
                <w:i/>
                <w:iCs/>
                <w:color w:val="000000"/>
                <w:sz w:val="24"/>
                <w:szCs w:val="24"/>
                <w:lang w:val="en-US"/>
              </w:rPr>
            </w:pPr>
            <w:r w:rsidRPr="002A4C2B">
              <w:rPr>
                <w:rFonts w:asciiTheme="majorHAnsi" w:eastAsia="Times New Roman" w:hAnsiTheme="majorHAnsi" w:cs="Times New Roman"/>
                <w:i/>
                <w:iCs/>
                <w:color w:val="000000"/>
                <w:sz w:val="24"/>
                <w:szCs w:val="24"/>
                <w:lang w:val="en-US"/>
              </w:rPr>
              <w:lastRenderedPageBreak/>
              <w:t>art. 14 ter, c. 1, L. 7 agosto 1990, n. 241;</w:t>
            </w:r>
          </w:p>
          <w:p w:rsidR="0029397A" w:rsidRPr="002A4C2B" w:rsidRDefault="0029397A" w:rsidP="0029397A">
            <w:pPr>
              <w:numPr>
                <w:ilvl w:val="0"/>
                <w:numId w:val="21"/>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D.Lgs. 30 giugno 2016, n. 127.</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lastRenderedPageBreak/>
              <w:t>VERIFICA A CAMPIONE DELLE CONFERENZE DEI SERVIZI INDETTE</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8</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rsidR="0029397A" w:rsidRPr="002A4C2B" w:rsidRDefault="0029397A" w:rsidP="0029397A">
            <w:pPr>
              <w:spacing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686659" w:rsidRPr="002A4C2B" w:rsidTr="0029397A">
        <w:trPr>
          <w:gridAfter w:val="3"/>
          <w:trHeight w:val="4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686659" w:rsidRPr="002A4C2B" w:rsidTr="0029397A">
        <w:trPr>
          <w:gridAfter w:val="3"/>
          <w:trHeight w:val="4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686659" w:rsidRPr="002A4C2B" w:rsidTr="0029397A">
        <w:trPr>
          <w:gridAfter w:val="3"/>
          <w:trHeight w:val="4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29397A" w:rsidRPr="002A4C2B" w:rsidTr="0029397A">
        <w:trPr>
          <w:trHeight w:val="64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29397A" w:rsidRPr="002A4C2B" w:rsidRDefault="0029397A" w:rsidP="0029397A">
            <w:pPr>
              <w:numPr>
                <w:ilvl w:val="0"/>
                <w:numId w:val="22"/>
              </w:numPr>
              <w:spacing w:after="160" w:line="240" w:lineRule="auto"/>
              <w:textAlignment w:val="baseline"/>
              <w:rPr>
                <w:rFonts w:asciiTheme="majorHAnsi" w:eastAsia="Times New Roman" w:hAnsiTheme="majorHAnsi" w:cs="Times New Roman"/>
                <w:b/>
                <w:bCs/>
                <w:color w:val="000000"/>
                <w:sz w:val="24"/>
                <w:szCs w:val="24"/>
                <w:lang w:val="it-IT"/>
              </w:rPr>
            </w:pPr>
            <w:r w:rsidRPr="002A4C2B">
              <w:rPr>
                <w:rFonts w:asciiTheme="majorHAnsi" w:eastAsia="Times New Roman" w:hAnsiTheme="majorHAnsi" w:cs="Times New Roman"/>
                <w:b/>
                <w:bCs/>
                <w:color w:val="000000"/>
                <w:sz w:val="24"/>
                <w:szCs w:val="24"/>
                <w:lang w:val="it-IT"/>
              </w:rPr>
              <w:t>PARAMETRI GESTIONALI </w:t>
            </w: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0/30</w:t>
            </w: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0" w:type="dxa"/>
              <w:left w:w="115" w:type="dxa"/>
              <w:bottom w:w="0" w:type="dxa"/>
              <w:right w:w="115"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0/10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GARANTIRE LA CONCLUSIONE DEI PROCEDIMENTI NEI TEMPI DI LEGGE (1° MONITORAGGIO: 30.06.2020-31.12.2020; 2° MONITORAGGIO 01.01.2021-30.06.2021)</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23"/>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art. 2, L. 7 agosto 1990, 241;</w:t>
            </w:r>
          </w:p>
          <w:p w:rsidR="0029397A" w:rsidRPr="002A4C2B" w:rsidRDefault="0029397A" w:rsidP="0029397A">
            <w:pPr>
              <w:numPr>
                <w:ilvl w:val="0"/>
                <w:numId w:val="23"/>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“Indirizzi regionali in materia di Sportelli Unici per le Attività Produttive (SUAP)” - Linee guida di attuazione dell’art. 7 della l.r. n. 11/2014: Cap. 4, § 4.2, D.g.r. 3 giugno 2019, n. 1702.</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REPORT PRATICHE CONCLUSE CON DATA DI PRESENTAZIONE E DATA DI CHIUSURA</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29397A" w:rsidRPr="002A4C2B" w:rsidTr="0029397A">
        <w:trPr>
          <w:gridAfter w:val="1"/>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1"/>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3.2</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 xml:space="preserve">ATTRIBUIRE LA COMPETENZA </w:t>
            </w:r>
            <w:r w:rsidRPr="002A4C2B">
              <w:rPr>
                <w:rFonts w:asciiTheme="majorHAnsi" w:eastAsia="Times New Roman" w:hAnsiTheme="majorHAnsi" w:cs="Times New Roman"/>
                <w:color w:val="000000"/>
                <w:sz w:val="24"/>
                <w:szCs w:val="24"/>
                <w:lang w:val="it-IT"/>
              </w:rPr>
              <w:lastRenderedPageBreak/>
              <w:t>RELATIVA ALL’EDILIZIA PRODUTTIVA ALLO SPORTELLO UNICO PER LE ATTIVITÀ PRODUTTIVE</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24"/>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art. 4, c. 6, DPR 160/2010;</w:t>
            </w:r>
          </w:p>
          <w:p w:rsidR="0029397A" w:rsidRPr="002A4C2B" w:rsidRDefault="0029397A" w:rsidP="0029397A">
            <w:pPr>
              <w:numPr>
                <w:ilvl w:val="0"/>
                <w:numId w:val="24"/>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“Indirizzi regionali in materia di Sportelli Unici per le Attività Produttive (SUAP)” - Linee guida di attuazione dell’art. 7 della l.r. n. 11/2014: Cap. 4, § 4.5, D.g.r. 3 giugno 2019, n. 1702.</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lastRenderedPageBreak/>
              <w:t xml:space="preserve">ATTO/DETERMINA/REGOLAMENTO CHE </w:t>
            </w:r>
            <w:r w:rsidRPr="002A4C2B">
              <w:rPr>
                <w:rFonts w:asciiTheme="majorHAnsi" w:eastAsia="Times New Roman" w:hAnsiTheme="majorHAnsi" w:cs="Times New Roman"/>
                <w:i/>
                <w:iCs/>
                <w:color w:val="000000"/>
                <w:sz w:val="24"/>
                <w:szCs w:val="24"/>
                <w:lang w:val="it-IT"/>
              </w:rPr>
              <w:lastRenderedPageBreak/>
              <w:t>PREVEDE L’ATTRIBUZIONE DELL’EDILIZIA PRODUTTIVA AL SUAP</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lastRenderedPageBreak/>
              <w:t>7</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after="240"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1"/>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1"/>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1"/>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2"/>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2"/>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3.3</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ASSICURARE L’INOLTRO TEMPESTIVO DELLE PRATICHE AGLI ENTI TERZI DALLA RICEZIONE (INDICATIVAMENTE ENTRO 5 GIORNI)</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25"/>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art. 4, D.P.R. 160/2010;</w:t>
            </w:r>
          </w:p>
          <w:p w:rsidR="0029397A" w:rsidRPr="002A4C2B" w:rsidRDefault="0029397A" w:rsidP="0029397A">
            <w:pPr>
              <w:numPr>
                <w:ilvl w:val="0"/>
                <w:numId w:val="25"/>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art. 19 bis, c. 2, L. 241/1990.</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REPORT PRATICHE CON DATA DI INOLTRO AGLI ENTI TERZI</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2"/>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2"/>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2"/>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c>
          <w:tcPr>
            <w:tcW w:w="0" w:type="auto"/>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29397A" w:rsidRPr="002A4C2B" w:rsidTr="0000107F">
        <w:trPr>
          <w:gridAfter w:val="3"/>
          <w:trHeight w:val="33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3"/>
          <w:trHeight w:val="45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3.4</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 xml:space="preserve">ADOTTARE E PUBBLICARE IL </w:t>
            </w:r>
            <w:r w:rsidRPr="002A4C2B">
              <w:rPr>
                <w:rFonts w:asciiTheme="majorHAnsi" w:eastAsia="Times New Roman" w:hAnsiTheme="majorHAnsi" w:cs="Times New Roman"/>
                <w:color w:val="000000"/>
                <w:sz w:val="24"/>
                <w:szCs w:val="24"/>
                <w:lang w:val="it-IT"/>
              </w:rPr>
              <w:lastRenderedPageBreak/>
              <w:t>TARIFFARIO</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26"/>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artt. 35-36, D.lgs. 14 marzo 2013, n. 33.</w:t>
            </w:r>
          </w:p>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lastRenderedPageBreak/>
              <w:t xml:space="preserve">COPIA DEL TARIFFARIO ADOTTATO CON </w:t>
            </w:r>
            <w:r w:rsidRPr="002A4C2B">
              <w:rPr>
                <w:rFonts w:asciiTheme="majorHAnsi" w:eastAsia="Times New Roman" w:hAnsiTheme="majorHAnsi" w:cs="Times New Roman"/>
                <w:i/>
                <w:iCs/>
                <w:color w:val="000000"/>
                <w:sz w:val="24"/>
                <w:szCs w:val="24"/>
                <w:lang w:val="it-IT"/>
              </w:rPr>
              <w:lastRenderedPageBreak/>
              <w:t>REG. COMUNALE + RELATIVA RICHIESTA DI PUBBLICAZIONE SUL PORTALE DI RIFERIMENTO</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lastRenderedPageBreak/>
              <w:t>3</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686659" w:rsidRPr="002A4C2B" w:rsidTr="0029397A">
        <w:trPr>
          <w:gridAfter w:val="3"/>
          <w:trHeight w:val="4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686659" w:rsidRPr="002A4C2B" w:rsidTr="0029397A">
        <w:trPr>
          <w:gridAfter w:val="3"/>
          <w:trHeight w:val="4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686659" w:rsidRPr="002A4C2B" w:rsidTr="0029397A">
        <w:trPr>
          <w:gridAfter w:val="3"/>
          <w:trHeight w:val="4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686659" w:rsidRPr="002A4C2B" w:rsidTr="0029397A">
        <w:trPr>
          <w:gridAfter w:val="3"/>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3.5</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REALIZZARE E SOMMINISTRARE UNA CUSTOMER SATISFACTION PER GLI UTENTI SUAP</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27"/>
              </w:numPr>
              <w:spacing w:line="240" w:lineRule="auto"/>
              <w:ind w:left="500"/>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“Indirizzi regionali in materia di Sportelli Unici per le Attività Produttive (SUAP)” - Linee guida di attuazione dell’art. 7 della l.r. n. 11/2014: Cap. 4, § 4.1-4.2, D.g.r. 3 giugno 2019, n. 1702</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MODELLO DI CUSTOMER SATISFACTION + REPORT ESITI</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686659" w:rsidRPr="002A4C2B" w:rsidTr="0000107F">
        <w:trPr>
          <w:gridAfter w:val="3"/>
          <w:trHeight w:val="33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29397A">
        <w:trPr>
          <w:gridAfter w:val="3"/>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3.6</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GARANTIRE LA REALIZZAZIONE E LA DISTRIBUZIONE AGLI AMMINISTRATORI DEL REPORT DI MONITORAGGIO PERIODICO DEL SERVIZIO</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28"/>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 xml:space="preserve">“Indirizzi regionali in materia di </w:t>
            </w:r>
            <w:r w:rsidRPr="002A4C2B">
              <w:rPr>
                <w:rFonts w:asciiTheme="majorHAnsi" w:eastAsia="Times New Roman" w:hAnsiTheme="majorHAnsi" w:cs="Times New Roman"/>
                <w:i/>
                <w:iCs/>
                <w:color w:val="000000"/>
                <w:sz w:val="24"/>
                <w:szCs w:val="24"/>
                <w:lang w:val="it-IT"/>
              </w:rPr>
              <w:lastRenderedPageBreak/>
              <w:t>Sportelli Unici per le Attività Produttive (SUAP)” - Linee guida di attuazione dell’art. 7 della l.r. n. 11/2014: Cap. 4, § 4.2, D.g.r. 3 giugno 2019, n. 1702</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lastRenderedPageBreak/>
              <w:t>REPORT DI MONITORAGGIO PERIODICO</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after="240"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29397A" w:rsidRPr="002A4C2B" w:rsidTr="0000107F">
        <w:trPr>
          <w:gridAfter w:val="3"/>
          <w:trHeight w:val="419"/>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29397A" w:rsidRPr="002A4C2B" w:rsidRDefault="0029397A" w:rsidP="0029397A">
            <w:pPr>
              <w:numPr>
                <w:ilvl w:val="0"/>
                <w:numId w:val="29"/>
              </w:numPr>
              <w:spacing w:after="160" w:line="240" w:lineRule="auto"/>
              <w:textAlignment w:val="baseline"/>
              <w:rPr>
                <w:rFonts w:asciiTheme="majorHAnsi" w:eastAsia="Times New Roman" w:hAnsiTheme="majorHAnsi" w:cs="Times New Roman"/>
                <w:b/>
                <w:bCs/>
                <w:color w:val="000000"/>
                <w:sz w:val="24"/>
                <w:szCs w:val="24"/>
                <w:lang w:val="it-IT"/>
              </w:rPr>
            </w:pPr>
            <w:r w:rsidRPr="002A4C2B">
              <w:rPr>
                <w:rFonts w:asciiTheme="majorHAnsi" w:eastAsia="Times New Roman" w:hAnsiTheme="majorHAnsi" w:cs="Times New Roman"/>
                <w:b/>
                <w:bCs/>
                <w:color w:val="000000"/>
                <w:sz w:val="24"/>
                <w:szCs w:val="24"/>
                <w:lang w:val="it-IT"/>
              </w:rPr>
              <w:lastRenderedPageBreak/>
              <w:t>PARAMETRI TERRITORIALI</w:t>
            </w: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0/10</w:t>
            </w:r>
          </w:p>
        </w:tc>
        <w:tc>
          <w:tcPr>
            <w:tcW w:w="0" w:type="auto"/>
            <w:tcBorders>
              <w:top w:val="single" w:sz="8" w:space="0" w:color="000000"/>
              <w:left w:val="single" w:sz="8" w:space="0" w:color="000000"/>
              <w:bottom w:val="single" w:sz="8" w:space="0" w:color="000000"/>
              <w:right w:val="single" w:sz="8" w:space="0" w:color="000000"/>
            </w:tcBorders>
            <w:shd w:val="clear" w:color="auto" w:fill="FF9900"/>
            <w:tcMar>
              <w:top w:w="0" w:type="dxa"/>
              <w:left w:w="115" w:type="dxa"/>
              <w:bottom w:w="0" w:type="dxa"/>
              <w:right w:w="115" w:type="dxa"/>
            </w:tcMar>
            <w:hideMark/>
          </w:tcPr>
          <w:p w:rsidR="0029397A" w:rsidRPr="002A4C2B" w:rsidRDefault="0029397A" w:rsidP="0029397A">
            <w:pPr>
              <w:spacing w:before="200"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t>0/4</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686659" w:rsidRPr="002A4C2B" w:rsidTr="0000107F">
        <w:trPr>
          <w:gridAfter w:val="3"/>
          <w:trHeight w:val="157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4.1</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AVVIARE, AMPLIARE O CONSOLIDARE LA GESTIONE DEL SERVIZIO SUAP IN FORMA AGGREGATA ALMENO IN UNO DEI SEGUENTI AMBITI:</w:t>
            </w:r>
          </w:p>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 AMBITO PROVINCIALE;</w:t>
            </w:r>
          </w:p>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 AMBITO DELLA COMUNITA’ MONTANA;</w:t>
            </w:r>
          </w:p>
          <w:p w:rsidR="0000107F" w:rsidRPr="002A4C2B" w:rsidRDefault="0029397A" w:rsidP="0029397A">
            <w:pPr>
              <w:spacing w:after="160" w:line="240" w:lineRule="auto"/>
              <w:rPr>
                <w:rFonts w:asciiTheme="majorHAnsi" w:eastAsia="Times New Roman" w:hAnsiTheme="majorHAnsi" w:cs="Times New Roman"/>
                <w:color w:val="000000"/>
                <w:sz w:val="24"/>
                <w:szCs w:val="24"/>
                <w:lang w:val="it-IT"/>
              </w:rPr>
            </w:pPr>
            <w:r w:rsidRPr="002A4C2B">
              <w:rPr>
                <w:rFonts w:asciiTheme="majorHAnsi" w:eastAsia="Times New Roman" w:hAnsiTheme="majorHAnsi" w:cs="Times New Roman"/>
                <w:color w:val="000000"/>
                <w:sz w:val="24"/>
                <w:szCs w:val="24"/>
                <w:lang w:val="it-IT"/>
              </w:rPr>
              <w:t>- AMBITO DEL PIANO DI ZONA;</w:t>
            </w:r>
          </w:p>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 AMBITO DELLA ZONA OMOGENEA DELLA CITTA’ METROPOLITANA.</w:t>
            </w:r>
          </w:p>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t>Riferimenti normativi:</w:t>
            </w:r>
          </w:p>
          <w:p w:rsidR="0029397A" w:rsidRPr="002A4C2B" w:rsidRDefault="0029397A" w:rsidP="0029397A">
            <w:pPr>
              <w:numPr>
                <w:ilvl w:val="0"/>
                <w:numId w:val="30"/>
              </w:numPr>
              <w:spacing w:line="240" w:lineRule="auto"/>
              <w:ind w:left="502"/>
              <w:textAlignment w:val="baseline"/>
              <w:rPr>
                <w:rFonts w:asciiTheme="majorHAnsi" w:eastAsia="Times New Roman" w:hAnsiTheme="majorHAnsi" w:cs="Times New Roman"/>
                <w:i/>
                <w:iCs/>
                <w:color w:val="000000"/>
                <w:sz w:val="24"/>
                <w:szCs w:val="24"/>
                <w:lang w:val="it-IT"/>
              </w:rPr>
            </w:pPr>
            <w:r w:rsidRPr="002A4C2B">
              <w:rPr>
                <w:rFonts w:asciiTheme="majorHAnsi" w:eastAsia="Times New Roman" w:hAnsiTheme="majorHAnsi" w:cs="Times New Roman"/>
                <w:i/>
                <w:iCs/>
                <w:color w:val="000000"/>
                <w:sz w:val="24"/>
                <w:szCs w:val="24"/>
                <w:lang w:val="it-IT"/>
              </w:rPr>
              <w:t xml:space="preserve">“Indirizzi regionali in materia di Sportelli Unici per le Attività Produttive (SUAP)” - Linee guida </w:t>
            </w:r>
            <w:r w:rsidRPr="002A4C2B">
              <w:rPr>
                <w:rFonts w:asciiTheme="majorHAnsi" w:eastAsia="Times New Roman" w:hAnsiTheme="majorHAnsi" w:cs="Times New Roman"/>
                <w:i/>
                <w:iCs/>
                <w:color w:val="000000"/>
                <w:sz w:val="24"/>
                <w:szCs w:val="24"/>
                <w:lang w:val="it-IT"/>
              </w:rPr>
              <w:lastRenderedPageBreak/>
              <w:t>di attuazione dell’art. 7 della l.r. n. 11/2014: Cap. 4, § 4.4, D.g.r. 3 giugno 2019, n. 1702</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i/>
                <w:iCs/>
                <w:color w:val="000000"/>
                <w:sz w:val="24"/>
                <w:szCs w:val="24"/>
                <w:lang w:val="it-IT"/>
              </w:rPr>
              <w:lastRenderedPageBreak/>
              <w:t>ATTO COSTITUTIVO DEL SUAP AGGIORNATO</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 xml:space="preserve"> 10</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 xml:space="preserve"> 4</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30/06/2021</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31/12/2021</w:t>
            </w:r>
          </w:p>
        </w:tc>
      </w:tr>
      <w:tr w:rsidR="00686659" w:rsidRPr="002A4C2B" w:rsidTr="0029397A">
        <w:trPr>
          <w:gridAfter w:val="3"/>
          <w:trHeight w:val="47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30/06/2022</w:t>
            </w:r>
          </w:p>
        </w:tc>
      </w:tr>
      <w:tr w:rsidR="00686659" w:rsidRPr="002A4C2B" w:rsidTr="0029397A">
        <w:trPr>
          <w:gridAfter w:val="3"/>
          <w:trHeight w:val="5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15" w:type="dxa"/>
              <w:bottom w:w="0" w:type="dxa"/>
              <w:right w:w="115"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31/12/2022</w:t>
            </w:r>
          </w:p>
        </w:tc>
      </w:tr>
      <w:tr w:rsidR="00686659" w:rsidRPr="002A4C2B" w:rsidTr="0029397A">
        <w:trPr>
          <w:gridAfter w:val="3"/>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i/>
                <w:iCs/>
                <w:color w:val="000000"/>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r w:rsidR="0029397A" w:rsidRPr="002A4C2B" w:rsidTr="0029397A">
        <w:trPr>
          <w:gridAfter w:val="3"/>
          <w:trHeight w:val="42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990000"/>
            <w:tcMar>
              <w:top w:w="100" w:type="dxa"/>
              <w:left w:w="100" w:type="dxa"/>
              <w:bottom w:w="100" w:type="dxa"/>
              <w:right w:w="100" w:type="dxa"/>
            </w:tcMar>
            <w:hideMark/>
          </w:tcPr>
          <w:p w:rsidR="0029397A" w:rsidRPr="002A4C2B" w:rsidRDefault="0029397A" w:rsidP="0029397A">
            <w:pPr>
              <w:spacing w:after="160"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color w:val="000000"/>
                <w:sz w:val="24"/>
                <w:szCs w:val="24"/>
                <w:lang w:val="it-IT"/>
              </w:rPr>
              <w:lastRenderedPageBreak/>
              <w:t>TOTALE PUNTEGGIO</w:t>
            </w:r>
          </w:p>
        </w:tc>
        <w:tc>
          <w:tcPr>
            <w:tcW w:w="0" w:type="auto"/>
            <w:tcBorders>
              <w:top w:val="single" w:sz="8" w:space="0" w:color="000000"/>
              <w:left w:val="single" w:sz="8" w:space="0" w:color="000000"/>
              <w:bottom w:val="single" w:sz="8" w:space="0" w:color="000000"/>
              <w:right w:val="single" w:sz="8" w:space="0" w:color="000000"/>
            </w:tcBorders>
            <w:shd w:val="clear" w:color="auto" w:fill="990000"/>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i/>
                <w:iCs/>
                <w:color w:val="000000"/>
                <w:sz w:val="24"/>
                <w:szCs w:val="24"/>
                <w:lang w:val="it-IT"/>
              </w:rPr>
              <w:t>0/100</w:t>
            </w:r>
          </w:p>
        </w:tc>
        <w:tc>
          <w:tcPr>
            <w:tcW w:w="0" w:type="auto"/>
            <w:tcBorders>
              <w:top w:val="single" w:sz="8" w:space="0" w:color="000000"/>
              <w:left w:val="single" w:sz="8" w:space="0" w:color="000000"/>
              <w:bottom w:val="single" w:sz="8" w:space="0" w:color="000000"/>
              <w:right w:val="single" w:sz="8" w:space="0" w:color="000000"/>
            </w:tcBorders>
            <w:shd w:val="clear" w:color="auto" w:fill="990000"/>
            <w:tcMar>
              <w:top w:w="100" w:type="dxa"/>
              <w:left w:w="100" w:type="dxa"/>
              <w:bottom w:w="100" w:type="dxa"/>
              <w:right w:w="100" w:type="dxa"/>
            </w:tcMar>
            <w:hideMark/>
          </w:tcPr>
          <w:p w:rsidR="0029397A" w:rsidRPr="002A4C2B" w:rsidRDefault="0029397A" w:rsidP="0029397A">
            <w:pPr>
              <w:spacing w:after="160" w:line="240" w:lineRule="auto"/>
              <w:jc w:val="center"/>
              <w:rPr>
                <w:rFonts w:asciiTheme="majorHAnsi" w:eastAsia="Times New Roman" w:hAnsiTheme="majorHAnsi" w:cs="Times New Roman"/>
                <w:sz w:val="24"/>
                <w:szCs w:val="24"/>
                <w:lang w:val="it-IT"/>
              </w:rPr>
            </w:pPr>
            <w:r w:rsidRPr="002A4C2B">
              <w:rPr>
                <w:rFonts w:asciiTheme="majorHAnsi" w:eastAsia="Times New Roman" w:hAnsiTheme="majorHAnsi" w:cs="Times New Roman"/>
                <w:b/>
                <w:bCs/>
                <w:i/>
                <w:iCs/>
                <w:color w:val="000000"/>
                <w:sz w:val="24"/>
                <w:szCs w:val="24"/>
                <w:lang w:val="it-IT"/>
              </w:rPr>
              <w:t>0/20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990000"/>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r>
    </w:tbl>
    <w:p w:rsidR="0029397A" w:rsidRPr="002A4C2B" w:rsidRDefault="0029397A" w:rsidP="0029397A">
      <w:pPr>
        <w:spacing w:line="240" w:lineRule="auto"/>
        <w:rPr>
          <w:rFonts w:asciiTheme="majorHAnsi" w:eastAsia="Times New Roman" w:hAnsiTheme="majorHAnsi" w:cs="Times New Roman"/>
          <w:sz w:val="24"/>
          <w:szCs w:val="24"/>
          <w:lang w:val="it-IT"/>
        </w:rPr>
      </w:pPr>
    </w:p>
    <w:tbl>
      <w:tblPr>
        <w:tblW w:w="0" w:type="auto"/>
        <w:tblCellMar>
          <w:top w:w="15" w:type="dxa"/>
          <w:left w:w="15" w:type="dxa"/>
          <w:bottom w:w="15" w:type="dxa"/>
          <w:right w:w="15" w:type="dxa"/>
        </w:tblCellMar>
        <w:tblLook w:val="04A0"/>
      </w:tblPr>
      <w:tblGrid>
        <w:gridCol w:w="206"/>
        <w:gridCol w:w="15447"/>
      </w:tblGrid>
      <w:tr w:rsidR="0029397A" w:rsidRPr="002A4C2B" w:rsidTr="0029397A">
        <w:tc>
          <w:tcPr>
            <w:tcW w:w="0" w:type="auto"/>
            <w:tcBorders>
              <w:top w:val="single" w:sz="8" w:space="0" w:color="000000"/>
              <w:left w:val="single" w:sz="8" w:space="0" w:color="000000"/>
              <w:bottom w:val="single" w:sz="8" w:space="0" w:color="000000"/>
              <w:right w:val="single" w:sz="8" w:space="0" w:color="000000"/>
            </w:tcBorders>
            <w:shd w:val="clear" w:color="auto" w:fill="96F096"/>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Impegni obbligatori. Per questi non è prevista la suddivisione tra nuovo parametro da conseguire e parametro già posseduto. Il punteggio per ognuno degli impegni obbligatori andrà conteggiato come impegno da conseguire. </w:t>
            </w:r>
          </w:p>
        </w:tc>
      </w:tr>
      <w:tr w:rsidR="0029397A" w:rsidRPr="002A4C2B" w:rsidTr="0029397A">
        <w:tc>
          <w:tcPr>
            <w:tcW w:w="0" w:type="auto"/>
            <w:tcBorders>
              <w:top w:val="single" w:sz="8" w:space="0" w:color="000000"/>
              <w:left w:val="single" w:sz="8" w:space="0" w:color="000000"/>
              <w:bottom w:val="single" w:sz="8" w:space="0" w:color="000000"/>
              <w:right w:val="single" w:sz="8" w:space="0" w:color="000000"/>
            </w:tcBorders>
            <w:shd w:val="clear" w:color="auto" w:fill="A2C4C9"/>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Impegni facoltativi. In questo caso è stata mantenuta la suddivisione tra nuovo parametro da conseguire e parametro già posseduto.</w:t>
            </w:r>
          </w:p>
        </w:tc>
      </w:tr>
      <w:tr w:rsidR="0029397A" w:rsidRPr="002A4C2B" w:rsidTr="0029397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397A" w:rsidRPr="002A4C2B" w:rsidRDefault="0029397A" w:rsidP="0029397A">
            <w:pPr>
              <w:spacing w:line="240" w:lineRule="auto"/>
              <w:rPr>
                <w:rFonts w:asciiTheme="majorHAnsi" w:eastAsia="Times New Roman" w:hAnsiTheme="majorHAnsi" w:cs="Times New Roman"/>
                <w:sz w:val="24"/>
                <w:szCs w:val="24"/>
                <w:lang w:val="it-IT"/>
              </w:rPr>
            </w:pPr>
            <w:r w:rsidRPr="002A4C2B">
              <w:rPr>
                <w:rFonts w:asciiTheme="majorHAnsi" w:eastAsia="Times New Roman" w:hAnsiTheme="majorHAnsi" w:cs="Times New Roman"/>
                <w:color w:val="000000"/>
                <w:sz w:val="24"/>
                <w:szCs w:val="24"/>
                <w:lang w:val="it-IT"/>
              </w:rPr>
              <w:t>Le celle unite riguardano impegni che andranno considerati come nuovi parametri da conseguire poiché, anche se già assolti, sono da intendere come impegni continuativi che devono essere mantenuti nel tempo.</w:t>
            </w:r>
          </w:p>
        </w:tc>
      </w:tr>
    </w:tbl>
    <w:p w:rsidR="004B5196" w:rsidRPr="002A4C2B" w:rsidRDefault="004B5196">
      <w:pPr>
        <w:ind w:left="1440"/>
        <w:jc w:val="both"/>
        <w:rPr>
          <w:rFonts w:asciiTheme="majorHAnsi" w:hAnsiTheme="majorHAnsi"/>
          <w:sz w:val="24"/>
          <w:szCs w:val="24"/>
          <w:lang w:val="it-IT"/>
        </w:rPr>
      </w:pPr>
    </w:p>
    <w:sectPr w:rsidR="004B5196" w:rsidRPr="002A4C2B" w:rsidSect="009D6444">
      <w:headerReference w:type="default" r:id="rId8"/>
      <w:pgSz w:w="16839" w:h="11907" w:orient="landscape" w:code="9"/>
      <w:pgMar w:top="1559" w:right="820" w:bottom="2131" w:left="566"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A31" w:rsidRDefault="00890A31">
      <w:pPr>
        <w:spacing w:line="240" w:lineRule="auto"/>
      </w:pPr>
      <w:r>
        <w:separator/>
      </w:r>
    </w:p>
  </w:endnote>
  <w:endnote w:type="continuationSeparator" w:id="0">
    <w:p w:rsidR="00890A31" w:rsidRDefault="00890A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A31" w:rsidRDefault="00890A31">
      <w:pPr>
        <w:spacing w:line="240" w:lineRule="auto"/>
      </w:pPr>
      <w:r>
        <w:separator/>
      </w:r>
    </w:p>
  </w:footnote>
  <w:footnote w:type="continuationSeparator" w:id="0">
    <w:p w:rsidR="00890A31" w:rsidRDefault="00890A3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938" w:type="dxa"/>
      <w:jc w:val="center"/>
      <w:tblBorders>
        <w:top w:val="nil"/>
        <w:left w:val="nil"/>
        <w:bottom w:val="nil"/>
        <w:right w:val="nil"/>
        <w:insideH w:val="nil"/>
        <w:insideV w:val="nil"/>
      </w:tblBorders>
      <w:tblLayout w:type="fixed"/>
      <w:tblLook w:val="0400"/>
    </w:tblPr>
    <w:tblGrid>
      <w:gridCol w:w="4803"/>
      <w:gridCol w:w="3135"/>
    </w:tblGrid>
    <w:tr w:rsidR="00311A50" w:rsidRPr="00311A50" w:rsidTr="00311A50">
      <w:trPr>
        <w:jc w:val="center"/>
      </w:trPr>
      <w:tc>
        <w:tcPr>
          <w:tcW w:w="4803" w:type="dxa"/>
        </w:tcPr>
        <w:p w:rsidR="00311A50" w:rsidRPr="00311A50" w:rsidRDefault="00311A50" w:rsidP="00311A50">
          <w:pPr>
            <w:tabs>
              <w:tab w:val="center" w:pos="4819"/>
              <w:tab w:val="right" w:pos="9638"/>
            </w:tabs>
            <w:spacing w:line="240" w:lineRule="auto"/>
            <w:rPr>
              <w:rFonts w:ascii="Calibri" w:eastAsia="Calibri" w:hAnsi="Calibri" w:cs="Times New Roman"/>
              <w:lang w:val="it-IT" w:eastAsia="en-US"/>
            </w:rPr>
          </w:pPr>
          <w:r w:rsidRPr="00311A50">
            <w:rPr>
              <w:rFonts w:ascii="Calibri" w:eastAsia="Calibri" w:hAnsi="Calibri" w:cs="Times New Roman"/>
              <w:noProof/>
              <w:lang w:val="it-IT"/>
            </w:rPr>
            <w:drawing>
              <wp:inline distT="0" distB="0" distL="0" distR="0">
                <wp:extent cx="1216238" cy="468000"/>
                <wp:effectExtent l="0" t="0" r="0" b="0"/>
                <wp:docPr id="4" name="image5.jpg" descr="Risultati immagini per site:regione.lombardia.it logo"/>
                <wp:cNvGraphicFramePr/>
                <a:graphic xmlns:a="http://schemas.openxmlformats.org/drawingml/2006/main">
                  <a:graphicData uri="http://schemas.openxmlformats.org/drawingml/2006/picture">
                    <pic:pic xmlns:pic="http://schemas.openxmlformats.org/drawingml/2006/picture">
                      <pic:nvPicPr>
                        <pic:cNvPr id="0" name="image5.jpg" descr="Risultati immagini per site:regione.lombardia.it logo"/>
                        <pic:cNvPicPr preferRelativeResize="0"/>
                      </pic:nvPicPr>
                      <pic:blipFill>
                        <a:blip r:embed="rId1"/>
                        <a:srcRect l="1898" t="15549" b="15799"/>
                        <a:stretch>
                          <a:fillRect/>
                        </a:stretch>
                      </pic:blipFill>
                      <pic:spPr>
                        <a:xfrm>
                          <a:off x="0" y="0"/>
                          <a:ext cx="1216238" cy="468000"/>
                        </a:xfrm>
                        <a:prstGeom prst="rect">
                          <a:avLst/>
                        </a:prstGeom>
                        <a:ln/>
                      </pic:spPr>
                    </pic:pic>
                  </a:graphicData>
                </a:graphic>
              </wp:inline>
            </w:drawing>
          </w:r>
        </w:p>
      </w:tc>
      <w:tc>
        <w:tcPr>
          <w:tcW w:w="3135" w:type="dxa"/>
        </w:tcPr>
        <w:p w:rsidR="00311A50" w:rsidRPr="00311A50" w:rsidRDefault="00311A50" w:rsidP="00311A50">
          <w:pPr>
            <w:tabs>
              <w:tab w:val="center" w:pos="4819"/>
              <w:tab w:val="right" w:pos="9638"/>
            </w:tabs>
            <w:spacing w:line="240" w:lineRule="auto"/>
            <w:rPr>
              <w:rFonts w:ascii="Calibri" w:eastAsia="Calibri" w:hAnsi="Calibri" w:cs="Times New Roman"/>
              <w:lang w:val="it-IT" w:eastAsia="en-US"/>
            </w:rPr>
          </w:pPr>
          <w:r w:rsidRPr="00311A50">
            <w:rPr>
              <w:rFonts w:ascii="Calibri" w:eastAsia="Calibri" w:hAnsi="Calibri" w:cs="Times New Roman"/>
              <w:noProof/>
              <w:lang w:val="it-IT"/>
            </w:rPr>
            <w:drawing>
              <wp:inline distT="0" distB="0" distL="0" distR="0">
                <wp:extent cx="1294239" cy="468000"/>
                <wp:effectExtent l="0" t="0" r="0" b="0"/>
                <wp:docPr id="5" name="image7.gif" descr="http://www.unioncamerelombardia.it/images/File/SS_logo%20e%20marchio/unioncamere-web-100.gif"/>
                <wp:cNvGraphicFramePr/>
                <a:graphic xmlns:a="http://schemas.openxmlformats.org/drawingml/2006/main">
                  <a:graphicData uri="http://schemas.openxmlformats.org/drawingml/2006/picture">
                    <pic:pic xmlns:pic="http://schemas.openxmlformats.org/drawingml/2006/picture">
                      <pic:nvPicPr>
                        <pic:cNvPr id="0" name="image7.gif" descr="http://www.unioncamerelombardia.it/images/File/SS_logo%20e%20marchio/unioncamere-web-100.gif"/>
                        <pic:cNvPicPr preferRelativeResize="0"/>
                      </pic:nvPicPr>
                      <pic:blipFill>
                        <a:blip r:embed="rId2"/>
                        <a:srcRect/>
                        <a:stretch>
                          <a:fillRect/>
                        </a:stretch>
                      </pic:blipFill>
                      <pic:spPr>
                        <a:xfrm>
                          <a:off x="0" y="0"/>
                          <a:ext cx="1294239" cy="468000"/>
                        </a:xfrm>
                        <a:prstGeom prst="rect">
                          <a:avLst/>
                        </a:prstGeom>
                        <a:ln/>
                      </pic:spPr>
                    </pic:pic>
                  </a:graphicData>
                </a:graphic>
              </wp:inline>
            </w:drawing>
          </w:r>
          <w:r w:rsidR="00C06E9B">
            <w:rPr>
              <w:rFonts w:ascii="Calibri" w:eastAsia="Calibri" w:hAnsi="Calibri" w:cs="Times New Roman"/>
              <w:noProof/>
              <w:lang w:val="it-IT"/>
            </w:rPr>
            <w:pict>
              <v:rect id="Rettangolo 2" o:spid="_x0000_s2049" style="position:absolute;margin-left:324pt;margin-top:-73pt;width:97.8pt;height:22.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" strokecolor="gray">
                <v:stroke startarrowwidth="narrow" startarrowlength="short" endarrowwidth="narrow" endarrowlength="short"/>
                <v:textbox inset="2.53958mm,1.2694mm,2.53958mm,1.2694mm">
                  <w:txbxContent>
                    <w:p w:rsidR="00311A50" w:rsidRDefault="00311A50" w:rsidP="00311A50">
                      <w:pPr>
                        <w:spacing w:line="275" w:lineRule="auto"/>
                        <w:jc w:val="center"/>
                        <w:textDirection w:val="btLr"/>
                      </w:pPr>
                      <w:r>
                        <w:rPr>
                          <w:color w:val="000000"/>
                          <w:sz w:val="20"/>
                        </w:rPr>
                        <w:t>Allegato A alla d.g.r.</w:t>
                      </w:r>
                    </w:p>
                  </w:txbxContent>
                </v:textbox>
              </v:rect>
            </w:pict>
          </w:r>
        </w:p>
      </w:tc>
    </w:tr>
  </w:tbl>
  <w:p w:rsidR="001E1EA3" w:rsidRDefault="001E1EA3">
    <w:pPr>
      <w:pStyle w:val="Titolo"/>
      <w:jc w:val="center"/>
      <w:rPr>
        <w:sz w:val="36"/>
        <w:szCs w:val="36"/>
      </w:rPr>
    </w:pPr>
  </w:p>
  <w:p w:rsidR="004B5196" w:rsidRDefault="004B5196">
    <w:bookmarkStart w:id="1" w:name="_3dy6vkm" w:colFirst="0" w:colLast="0"/>
    <w:bookmarkStart w:id="2" w:name="_1t3h5sf" w:colFirst="0" w:colLast="0"/>
    <w:bookmarkEnd w:id="1"/>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3E0A"/>
    <w:multiLevelType w:val="multilevel"/>
    <w:tmpl w:val="74C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5532A"/>
    <w:multiLevelType w:val="multilevel"/>
    <w:tmpl w:val="813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F5D46"/>
    <w:multiLevelType w:val="multilevel"/>
    <w:tmpl w:val="30CE95CA"/>
    <w:lvl w:ilvl="0">
      <w:start w:val="1"/>
      <w:numFmt w:val="bullet"/>
      <w:lvlText w:val="-"/>
      <w:lvlJc w:val="left"/>
      <w:pPr>
        <w:ind w:left="851"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nsid w:val="0F1A0368"/>
    <w:multiLevelType w:val="multilevel"/>
    <w:tmpl w:val="94B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D77B6"/>
    <w:multiLevelType w:val="multilevel"/>
    <w:tmpl w:val="82FA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295283"/>
    <w:multiLevelType w:val="multilevel"/>
    <w:tmpl w:val="5508A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5F7C40"/>
    <w:multiLevelType w:val="multilevel"/>
    <w:tmpl w:val="DBC4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70333C"/>
    <w:multiLevelType w:val="multilevel"/>
    <w:tmpl w:val="77BC07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23912BC5"/>
    <w:multiLevelType w:val="multilevel"/>
    <w:tmpl w:val="DEFA9D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A451BA"/>
    <w:multiLevelType w:val="multilevel"/>
    <w:tmpl w:val="0B2E60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672581"/>
    <w:multiLevelType w:val="multilevel"/>
    <w:tmpl w:val="EE04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776D0D"/>
    <w:multiLevelType w:val="multilevel"/>
    <w:tmpl w:val="C95A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12417"/>
    <w:multiLevelType w:val="multilevel"/>
    <w:tmpl w:val="6C18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D17956"/>
    <w:multiLevelType w:val="multilevel"/>
    <w:tmpl w:val="5AB0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4F7372"/>
    <w:multiLevelType w:val="multilevel"/>
    <w:tmpl w:val="642A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A77739"/>
    <w:multiLevelType w:val="multilevel"/>
    <w:tmpl w:val="36EA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8F48B7"/>
    <w:multiLevelType w:val="multilevel"/>
    <w:tmpl w:val="B9EC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724A5B"/>
    <w:multiLevelType w:val="multilevel"/>
    <w:tmpl w:val="8B6A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7C6622"/>
    <w:multiLevelType w:val="multilevel"/>
    <w:tmpl w:val="D71E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483772"/>
    <w:multiLevelType w:val="multilevel"/>
    <w:tmpl w:val="ABA2E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8864826"/>
    <w:multiLevelType w:val="multilevel"/>
    <w:tmpl w:val="5A06E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0D45ED7"/>
    <w:multiLevelType w:val="multilevel"/>
    <w:tmpl w:val="2CAC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F114FA"/>
    <w:multiLevelType w:val="multilevel"/>
    <w:tmpl w:val="F7FC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964871"/>
    <w:multiLevelType w:val="multilevel"/>
    <w:tmpl w:val="BAC8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BF64A2"/>
    <w:multiLevelType w:val="multilevel"/>
    <w:tmpl w:val="CB8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FD1EAB"/>
    <w:multiLevelType w:val="multilevel"/>
    <w:tmpl w:val="93165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3316EA1"/>
    <w:multiLevelType w:val="multilevel"/>
    <w:tmpl w:val="A7087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CF2403"/>
    <w:multiLevelType w:val="multilevel"/>
    <w:tmpl w:val="9400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F76C50"/>
    <w:multiLevelType w:val="multilevel"/>
    <w:tmpl w:val="3556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9109C2"/>
    <w:multiLevelType w:val="multilevel"/>
    <w:tmpl w:val="F8D0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ED6367"/>
    <w:multiLevelType w:val="multilevel"/>
    <w:tmpl w:val="86B6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25"/>
  </w:num>
  <w:num w:numId="4">
    <w:abstractNumId w:val="20"/>
  </w:num>
  <w:num w:numId="5">
    <w:abstractNumId w:val="7"/>
  </w:num>
  <w:num w:numId="6">
    <w:abstractNumId w:val="6"/>
  </w:num>
  <w:num w:numId="7">
    <w:abstractNumId w:val="15"/>
  </w:num>
  <w:num w:numId="8">
    <w:abstractNumId w:val="13"/>
  </w:num>
  <w:num w:numId="9">
    <w:abstractNumId w:val="12"/>
  </w:num>
  <w:num w:numId="10">
    <w:abstractNumId w:val="27"/>
  </w:num>
  <w:num w:numId="11">
    <w:abstractNumId w:val="30"/>
  </w:num>
  <w:num w:numId="12">
    <w:abstractNumId w:val="29"/>
  </w:num>
  <w:num w:numId="13">
    <w:abstractNumId w:val="9"/>
    <w:lvlOverride w:ilvl="0">
      <w:lvl w:ilvl="0">
        <w:numFmt w:val="decimal"/>
        <w:lvlText w:val="%1."/>
        <w:lvlJc w:val="left"/>
      </w:lvl>
    </w:lvlOverride>
  </w:num>
  <w:num w:numId="14">
    <w:abstractNumId w:val="4"/>
  </w:num>
  <w:num w:numId="15">
    <w:abstractNumId w:val="11"/>
  </w:num>
  <w:num w:numId="16">
    <w:abstractNumId w:val="14"/>
  </w:num>
  <w:num w:numId="17">
    <w:abstractNumId w:val="17"/>
  </w:num>
  <w:num w:numId="18">
    <w:abstractNumId w:val="23"/>
  </w:num>
  <w:num w:numId="19">
    <w:abstractNumId w:val="24"/>
  </w:num>
  <w:num w:numId="20">
    <w:abstractNumId w:val="22"/>
  </w:num>
  <w:num w:numId="21">
    <w:abstractNumId w:val="0"/>
  </w:num>
  <w:num w:numId="22">
    <w:abstractNumId w:val="5"/>
    <w:lvlOverride w:ilvl="0">
      <w:lvl w:ilvl="0">
        <w:numFmt w:val="decimal"/>
        <w:lvlText w:val="%1."/>
        <w:lvlJc w:val="left"/>
      </w:lvl>
    </w:lvlOverride>
  </w:num>
  <w:num w:numId="23">
    <w:abstractNumId w:val="3"/>
  </w:num>
  <w:num w:numId="24">
    <w:abstractNumId w:val="28"/>
  </w:num>
  <w:num w:numId="25">
    <w:abstractNumId w:val="18"/>
  </w:num>
  <w:num w:numId="26">
    <w:abstractNumId w:val="16"/>
  </w:num>
  <w:num w:numId="27">
    <w:abstractNumId w:val="1"/>
  </w:num>
  <w:num w:numId="28">
    <w:abstractNumId w:val="10"/>
  </w:num>
  <w:num w:numId="29">
    <w:abstractNumId w:val="26"/>
    <w:lvlOverride w:ilvl="0">
      <w:lvl w:ilvl="0">
        <w:numFmt w:val="decimal"/>
        <w:lvlText w:val="%1."/>
        <w:lvlJc w:val="left"/>
      </w:lvl>
    </w:lvlOverride>
  </w:num>
  <w:num w:numId="30">
    <w:abstractNumId w:val="21"/>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1E1EA3"/>
    <w:rsid w:val="0000107F"/>
    <w:rsid w:val="000C3CF5"/>
    <w:rsid w:val="000D54DF"/>
    <w:rsid w:val="000F1468"/>
    <w:rsid w:val="00123981"/>
    <w:rsid w:val="001A373A"/>
    <w:rsid w:val="001E1EA3"/>
    <w:rsid w:val="001F299F"/>
    <w:rsid w:val="002415DC"/>
    <w:rsid w:val="00251CC2"/>
    <w:rsid w:val="0029397A"/>
    <w:rsid w:val="002A4C2B"/>
    <w:rsid w:val="002A62C3"/>
    <w:rsid w:val="00311A50"/>
    <w:rsid w:val="00325191"/>
    <w:rsid w:val="003421B9"/>
    <w:rsid w:val="003825C1"/>
    <w:rsid w:val="003D4CAA"/>
    <w:rsid w:val="003F59EF"/>
    <w:rsid w:val="004463F4"/>
    <w:rsid w:val="00497525"/>
    <w:rsid w:val="004B5196"/>
    <w:rsid w:val="0052715E"/>
    <w:rsid w:val="00561741"/>
    <w:rsid w:val="00686659"/>
    <w:rsid w:val="006926D0"/>
    <w:rsid w:val="007E1BF9"/>
    <w:rsid w:val="00865C68"/>
    <w:rsid w:val="00890A31"/>
    <w:rsid w:val="00893993"/>
    <w:rsid w:val="008B016A"/>
    <w:rsid w:val="009B3121"/>
    <w:rsid w:val="009D6444"/>
    <w:rsid w:val="00A0679D"/>
    <w:rsid w:val="00A37069"/>
    <w:rsid w:val="00A86892"/>
    <w:rsid w:val="00B23F18"/>
    <w:rsid w:val="00B96738"/>
    <w:rsid w:val="00BD72DA"/>
    <w:rsid w:val="00C06E9B"/>
    <w:rsid w:val="00C4250F"/>
    <w:rsid w:val="00CF44D3"/>
    <w:rsid w:val="00D6481F"/>
    <w:rsid w:val="00D937C7"/>
    <w:rsid w:val="00D94176"/>
    <w:rsid w:val="00E218E0"/>
    <w:rsid w:val="00F72E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C06E9B"/>
  </w:style>
  <w:style w:type="paragraph" w:styleId="Titolo1">
    <w:name w:val="heading 1"/>
    <w:basedOn w:val="Normale"/>
    <w:next w:val="Normale"/>
    <w:rsid w:val="00C06E9B"/>
    <w:pPr>
      <w:keepNext/>
      <w:keepLines/>
      <w:spacing w:before="400" w:after="120"/>
      <w:outlineLvl w:val="0"/>
    </w:pPr>
    <w:rPr>
      <w:sz w:val="40"/>
      <w:szCs w:val="40"/>
    </w:rPr>
  </w:style>
  <w:style w:type="paragraph" w:styleId="Titolo2">
    <w:name w:val="heading 2"/>
    <w:basedOn w:val="Normale"/>
    <w:next w:val="Normale"/>
    <w:rsid w:val="00C06E9B"/>
    <w:pPr>
      <w:keepNext/>
      <w:keepLines/>
      <w:spacing w:before="360" w:after="120"/>
      <w:outlineLvl w:val="1"/>
    </w:pPr>
    <w:rPr>
      <w:sz w:val="32"/>
      <w:szCs w:val="32"/>
    </w:rPr>
  </w:style>
  <w:style w:type="paragraph" w:styleId="Titolo3">
    <w:name w:val="heading 3"/>
    <w:basedOn w:val="Normale"/>
    <w:next w:val="Normale"/>
    <w:rsid w:val="00C06E9B"/>
    <w:pPr>
      <w:keepNext/>
      <w:keepLines/>
      <w:spacing w:before="320" w:after="80"/>
      <w:outlineLvl w:val="2"/>
    </w:pPr>
    <w:rPr>
      <w:color w:val="434343"/>
      <w:sz w:val="28"/>
      <w:szCs w:val="28"/>
    </w:rPr>
  </w:style>
  <w:style w:type="paragraph" w:styleId="Titolo4">
    <w:name w:val="heading 4"/>
    <w:basedOn w:val="Normale"/>
    <w:next w:val="Normale"/>
    <w:rsid w:val="00C06E9B"/>
    <w:pPr>
      <w:keepNext/>
      <w:keepLines/>
      <w:spacing w:before="280" w:after="80"/>
      <w:outlineLvl w:val="3"/>
    </w:pPr>
    <w:rPr>
      <w:color w:val="666666"/>
      <w:sz w:val="24"/>
      <w:szCs w:val="24"/>
    </w:rPr>
  </w:style>
  <w:style w:type="paragraph" w:styleId="Titolo5">
    <w:name w:val="heading 5"/>
    <w:basedOn w:val="Normale"/>
    <w:next w:val="Normale"/>
    <w:rsid w:val="00C06E9B"/>
    <w:pPr>
      <w:keepNext/>
      <w:keepLines/>
      <w:spacing w:before="240" w:after="80"/>
      <w:outlineLvl w:val="4"/>
    </w:pPr>
    <w:rPr>
      <w:color w:val="666666"/>
    </w:rPr>
  </w:style>
  <w:style w:type="paragraph" w:styleId="Titolo6">
    <w:name w:val="heading 6"/>
    <w:basedOn w:val="Normale"/>
    <w:next w:val="Normale"/>
    <w:rsid w:val="00C06E9B"/>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C06E9B"/>
    <w:tblPr>
      <w:tblCellMar>
        <w:top w:w="0" w:type="dxa"/>
        <w:left w:w="0" w:type="dxa"/>
        <w:bottom w:w="0" w:type="dxa"/>
        <w:right w:w="0" w:type="dxa"/>
      </w:tblCellMar>
    </w:tblPr>
  </w:style>
  <w:style w:type="paragraph" w:styleId="Titolo">
    <w:name w:val="Title"/>
    <w:basedOn w:val="Normale"/>
    <w:next w:val="Normale"/>
    <w:rsid w:val="00C06E9B"/>
    <w:pPr>
      <w:keepNext/>
      <w:keepLines/>
      <w:spacing w:after="60"/>
    </w:pPr>
    <w:rPr>
      <w:sz w:val="52"/>
      <w:szCs w:val="52"/>
    </w:rPr>
  </w:style>
  <w:style w:type="paragraph" w:styleId="Sottotitolo">
    <w:name w:val="Subtitle"/>
    <w:basedOn w:val="Normale"/>
    <w:next w:val="Normale"/>
    <w:rsid w:val="00C06E9B"/>
    <w:pPr>
      <w:keepNext/>
      <w:keepLines/>
      <w:spacing w:after="320"/>
    </w:pPr>
    <w:rPr>
      <w:color w:val="666666"/>
      <w:sz w:val="30"/>
      <w:szCs w:val="30"/>
    </w:rPr>
  </w:style>
  <w:style w:type="table" w:customStyle="1" w:styleId="a">
    <w:basedOn w:val="TableNormal"/>
    <w:rsid w:val="00C06E9B"/>
    <w:tblPr>
      <w:tblStyleRowBandSize w:val="1"/>
      <w:tblStyleColBandSize w:val="1"/>
      <w:tblCellMar>
        <w:top w:w="100" w:type="dxa"/>
        <w:left w:w="100" w:type="dxa"/>
        <w:bottom w:w="100" w:type="dxa"/>
        <w:right w:w="100" w:type="dxa"/>
      </w:tblCellMar>
    </w:tblPr>
  </w:style>
  <w:style w:type="table" w:customStyle="1" w:styleId="a0">
    <w:basedOn w:val="TableNormal"/>
    <w:rsid w:val="00C06E9B"/>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A0679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0679D"/>
  </w:style>
  <w:style w:type="paragraph" w:styleId="Pidipagina">
    <w:name w:val="footer"/>
    <w:basedOn w:val="Normale"/>
    <w:link w:val="PidipaginaCarattere"/>
    <w:uiPriority w:val="99"/>
    <w:unhideWhenUsed/>
    <w:rsid w:val="00A0679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0679D"/>
  </w:style>
  <w:style w:type="table" w:styleId="Grigliatabella">
    <w:name w:val="Table Grid"/>
    <w:basedOn w:val="Tabellanormale"/>
    <w:uiPriority w:val="39"/>
    <w:rsid w:val="004B519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311A50"/>
    <w:pPr>
      <w:spacing w:line="240" w:lineRule="auto"/>
    </w:pPr>
    <w:rPr>
      <w:rFonts w:ascii="Calibri" w:eastAsia="Calibri" w:hAnsi="Calibri" w:cs="Times New Roman"/>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9D644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6444"/>
    <w:rPr>
      <w:rFonts w:ascii="Segoe UI" w:hAnsi="Segoe UI" w:cs="Segoe UI"/>
      <w:sz w:val="18"/>
      <w:szCs w:val="18"/>
    </w:rPr>
  </w:style>
  <w:style w:type="paragraph" w:styleId="NormaleWeb">
    <w:name w:val="Normal (Web)"/>
    <w:basedOn w:val="Normale"/>
    <w:uiPriority w:val="99"/>
    <w:semiHidden/>
    <w:unhideWhenUsed/>
    <w:rsid w:val="0029397A"/>
    <w:pPr>
      <w:spacing w:before="100" w:beforeAutospacing="1" w:after="100" w:afterAutospacing="1" w:line="240" w:lineRule="auto"/>
    </w:pPr>
    <w:rPr>
      <w:rFonts w:ascii="Times New Roman" w:eastAsia="Times New Roman" w:hAnsi="Times New Roman" w:cs="Times New Roman"/>
      <w:sz w:val="24"/>
      <w:szCs w:val="24"/>
      <w:lang w:val="it-IT"/>
    </w:rPr>
  </w:style>
</w:styles>
</file>

<file path=word/webSettings.xml><?xml version="1.0" encoding="utf-8"?>
<w:webSettings xmlns:r="http://schemas.openxmlformats.org/officeDocument/2006/relationships" xmlns:w="http://schemas.openxmlformats.org/wordprocessingml/2006/main">
  <w:divs>
    <w:div w:id="297614878">
      <w:bodyDiv w:val="1"/>
      <w:marLeft w:val="0"/>
      <w:marRight w:val="0"/>
      <w:marTop w:val="0"/>
      <w:marBottom w:val="0"/>
      <w:divBdr>
        <w:top w:val="none" w:sz="0" w:space="0" w:color="auto"/>
        <w:left w:val="none" w:sz="0" w:space="0" w:color="auto"/>
        <w:bottom w:val="none" w:sz="0" w:space="0" w:color="auto"/>
        <w:right w:val="none" w:sz="0" w:space="0" w:color="auto"/>
      </w:divBdr>
      <w:divsChild>
        <w:div w:id="2061250401">
          <w:marLeft w:val="-70"/>
          <w:marRight w:val="0"/>
          <w:marTop w:val="0"/>
          <w:marBottom w:val="0"/>
          <w:divBdr>
            <w:top w:val="none" w:sz="0" w:space="0" w:color="auto"/>
            <w:left w:val="none" w:sz="0" w:space="0" w:color="auto"/>
            <w:bottom w:val="none" w:sz="0" w:space="0" w:color="auto"/>
            <w:right w:val="none" w:sz="0" w:space="0" w:color="auto"/>
          </w:divBdr>
        </w:div>
        <w:div w:id="1114902776">
          <w:marLeft w:val="-1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5085-E4A4-4DFD-8F30-81B9C0E3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1811</Words>
  <Characters>10324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Mauri</dc:creator>
  <cp:lastModifiedBy>Iris</cp:lastModifiedBy>
  <cp:revision>2</cp:revision>
  <cp:lastPrinted>2019-07-02T15:10:00Z</cp:lastPrinted>
  <dcterms:created xsi:type="dcterms:W3CDTF">2020-03-30T16:13:00Z</dcterms:created>
  <dcterms:modified xsi:type="dcterms:W3CDTF">2020-03-30T16:13:00Z</dcterms:modified>
</cp:coreProperties>
</file>